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58" w:rsidRDefault="00166858" w:rsidP="00B108A2">
      <w:pPr>
        <w:spacing w:line="360" w:lineRule="auto"/>
        <w:ind w:left="396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166858" w:rsidRDefault="00166858" w:rsidP="00B108A2">
      <w:pPr>
        <w:spacing w:line="360" w:lineRule="auto"/>
        <w:ind w:left="3969"/>
        <w:rPr>
          <w:rFonts w:eastAsia="Times New Roman"/>
          <w:sz w:val="20"/>
          <w:szCs w:val="20"/>
        </w:rPr>
      </w:pPr>
    </w:p>
    <w:p w:rsidR="00876F87" w:rsidRPr="00CE7883" w:rsidRDefault="00CE7883" w:rsidP="00876F87">
      <w:pPr>
        <w:spacing w:line="276" w:lineRule="auto"/>
        <w:jc w:val="right"/>
        <w:rPr>
          <w:b/>
        </w:rPr>
      </w:pPr>
      <w:r w:rsidRPr="00CE7883">
        <w:rPr>
          <w:b/>
        </w:rPr>
        <w:t>Załącznik nr 2.</w:t>
      </w:r>
    </w:p>
    <w:p w:rsidR="00876F87" w:rsidRDefault="00876F87" w:rsidP="00CE7883">
      <w:pPr>
        <w:tabs>
          <w:tab w:val="left" w:pos="3969"/>
        </w:tabs>
        <w:spacing w:line="276" w:lineRule="auto"/>
      </w:pPr>
    </w:p>
    <w:p w:rsidR="00B258E3" w:rsidRDefault="00B258E3" w:rsidP="00876F87">
      <w:pPr>
        <w:tabs>
          <w:tab w:val="left" w:pos="3969"/>
        </w:tabs>
        <w:spacing w:line="276" w:lineRule="auto"/>
      </w:pPr>
    </w:p>
    <w:p w:rsidR="00876F87" w:rsidRDefault="00B258E3" w:rsidP="00876F87">
      <w:pPr>
        <w:tabs>
          <w:tab w:val="left" w:pos="3969"/>
        </w:tabs>
        <w:spacing w:line="276" w:lineRule="auto"/>
        <w:rPr>
          <w:u w:val="single"/>
        </w:rPr>
      </w:pPr>
      <w:r w:rsidRPr="00B258E3">
        <w:rPr>
          <w:b/>
        </w:rPr>
        <w:t>Dotyczy:</w:t>
      </w:r>
      <w:r>
        <w:t xml:space="preserve"> </w:t>
      </w:r>
      <w:r w:rsidRPr="00B258E3">
        <w:rPr>
          <w:u w:val="single"/>
        </w:rPr>
        <w:t>dostosowania Instala</w:t>
      </w:r>
      <w:r>
        <w:rPr>
          <w:u w:val="single"/>
        </w:rPr>
        <w:t xml:space="preserve">cji Przetwarzających Odpady do </w:t>
      </w:r>
      <w:r w:rsidRPr="00B258E3">
        <w:rPr>
          <w:u w:val="single"/>
        </w:rPr>
        <w:t>wymagań  wynikających z Decyzji wykonawczej Komisji (UE) 2018/1147 z dnia 10 sierpnia 2018 r. ustanawiającej konkluzje dotyczące najlepszych dostępnych technik (BAT)</w:t>
      </w:r>
    </w:p>
    <w:p w:rsidR="00876F87" w:rsidRDefault="00876F87" w:rsidP="00876F87">
      <w:pPr>
        <w:tabs>
          <w:tab w:val="left" w:pos="3969"/>
        </w:tabs>
        <w:spacing w:line="276" w:lineRule="auto"/>
        <w:rPr>
          <w:b/>
          <w:i/>
        </w:rPr>
      </w:pPr>
    </w:p>
    <w:p w:rsidR="00876F87" w:rsidRDefault="00CE7883" w:rsidP="00876F87">
      <w:pPr>
        <w:tabs>
          <w:tab w:val="left" w:pos="3969"/>
        </w:tabs>
        <w:spacing w:line="276" w:lineRule="auto"/>
        <w:jc w:val="both"/>
      </w:pPr>
      <w:r>
        <w:t>W</w:t>
      </w:r>
      <w:r w:rsidR="00876F87">
        <w:t xml:space="preserve"> związku ze zbliżającym się terminem dostosowania Instalacji Przetwarzających Odpady do rygorystycznych wymagań  wynikających z Decyzji wykonawczej</w:t>
      </w:r>
      <w:r w:rsidR="00876F87" w:rsidRPr="00091669">
        <w:t xml:space="preserve"> Komisji (UE) 2018/1147 z dnia 1</w:t>
      </w:r>
      <w:r w:rsidR="00876F87">
        <w:t>0 sierpnia 2018 r. ustanawiającej</w:t>
      </w:r>
      <w:r w:rsidR="00876F87" w:rsidRPr="00091669">
        <w:t xml:space="preserve"> konkluzje dotyczące najlepszych dostępnych technik (BAT) w odniesieniu do przetwarzania odpadów zgodnie z dyrektywą Parlamentu Europejskiego i Rady 2010/75/UE (Dz. U. UE. L.</w:t>
      </w:r>
      <w:r w:rsidR="00876F87">
        <w:t xml:space="preserve"> z 2019 r. Nr 92, str. 12), tj. dniem 17 sierpnia 2022 r., niniejszym konieczne jest zwrócenie uwagi na zwiększającą się skalę problemów wynikających nie tylko z niemożności wprowadzenia w terminie rozwiązań technicznych wynikających z ww. Decyzji (do czego w znacznym stopniu przyczynił się stan epidemii związany z rozprzestrzenianiem się wirusa </w:t>
      </w:r>
      <w:r w:rsidR="00876F87" w:rsidRPr="00A27DFB">
        <w:t>SARS-CoV-2</w:t>
      </w:r>
      <w:r w:rsidR="00876F87">
        <w:t>), ale również będących konsekwencją    rozciągnięcia w czasie postępowań w sprawie zmian pozwoleń zintegrowanych wynikających z konieczności ich dostosowania do konkluzji BAT przez właściwe organy.</w:t>
      </w:r>
    </w:p>
    <w:p w:rsidR="00876F87" w:rsidRDefault="00876F87" w:rsidP="00876F87">
      <w:pPr>
        <w:tabs>
          <w:tab w:val="left" w:pos="3969"/>
        </w:tabs>
        <w:spacing w:line="276" w:lineRule="auto"/>
        <w:jc w:val="both"/>
      </w:pPr>
      <w:r>
        <w:t>Przybliżając ww. kwestie należy przede wszystkim odnieść się do art. 215 ust. 1, 3 i 4 ustawy</w:t>
      </w:r>
      <w:r w:rsidRPr="00842865">
        <w:t xml:space="preserve"> </w:t>
      </w:r>
      <w:r>
        <w:t>-</w:t>
      </w:r>
      <w:r w:rsidRPr="00842865">
        <w:t>Prawo ochrony środowiska</w:t>
      </w:r>
      <w:r>
        <w:rPr>
          <w:rStyle w:val="Odwoanieprzypisudolnego"/>
        </w:rPr>
        <w:footnoteReference w:id="1"/>
      </w:r>
      <w:r w:rsidRPr="00842865">
        <w:t xml:space="preserve"> (</w:t>
      </w:r>
      <w:r>
        <w:t xml:space="preserve">dalej jako p.o.ś.), obligującego organ właściwy do wydania pozwolenia (w większości przypadków jest to marszałek województwa) do dokonania analizy warunków pozwolenia zintegrowanego w związku z publikacją konkluzji BAT odnoszącej się do głównej działalności danej instalacji, a w przypadku stwierdzenia konieczności dostosowania tego pozwolenia do nowych wymogów (najlepszych dostępnych technik) organ ten powinien niezwłocznie wezwać prowadzącego instalację do wystąpienia z wnioskiem o zmianę pozwolenia, jednocześnie określając w tym wezwaniu zakres ww. wniosku.  Po złożeniu przez prowadzącego instalację wniosku zgodnego z zakresem ww. wezwania organ już w toku postępowania rozszerza jego przedmiot, tj. wzywa prowadzącego instalację do wdrożenia nie tylko BAT-ów wskazanych w ww. wezwaniu, ale również BAT-ów nim nieobjętych. Taki sposób procedowania stanowi nie tylko naruszenie ww. przepisów, mających stanowić dla prowadzącego instalację swoistą gwarancję pewności prawa (pewności zakresu modyfikacji pozwolenia i wynikających z tego czynności zmierzających do wdrożenia konkluzji BAT), ale również powoduje faktyczną obstrukcję prowadzonej działalności gospodarczej. Wynika to z faktu, że przygotowany przez prowadzącego instalację wniosek o zmianę pozwolenia stanowi efekt długotrwałej pracy szeregu specjalistów z zakresu ochrony środowiska, </w:t>
      </w:r>
      <w:r>
        <w:lastRenderedPageBreak/>
        <w:t xml:space="preserve">przygotowujących projekt </w:t>
      </w:r>
      <w:r>
        <w:rPr>
          <w:i/>
        </w:rPr>
        <w:t xml:space="preserve">de facto </w:t>
      </w:r>
      <w:r>
        <w:t>modernizacji instalacji pod kontem wymagań konkluzji BAT. Stanowi on kompleksową całość (podobnie jak instalacja), której modyfikacja – wynikająca z podjęcia przez organ próby sanowania błędów popełnionych na etapie weryfikacji pozwolenia zintegrowanego – na etapie postępowania administracyjnego z uwagi na dodanie przez organ wymogów spełnienia kolejnych BAT-ów (nieuwzględnionych w pierwotnym wezwaniu) wymaga ponownej całościowej i czasochłonnej analizy sposobu i zakresu modernizacji instalacji.</w:t>
      </w:r>
    </w:p>
    <w:p w:rsidR="00876F87" w:rsidRDefault="00876F87" w:rsidP="00876F87">
      <w:pPr>
        <w:tabs>
          <w:tab w:val="left" w:pos="3969"/>
        </w:tabs>
        <w:spacing w:line="276" w:lineRule="auto"/>
        <w:jc w:val="both"/>
      </w:pPr>
      <w:r>
        <w:t>Ponadto, z uwagi na znacznie ograniczony krąg firm specjalizujących się w wykonywaniu prac (projektowych oraz robót budowlanych) związanych z dostosowaniem instalacji do konkluzji BAT konieczne jest również poszukiwanie kolejnych podmiotów, które dysponują wiedzą i technologią umożliwiającą spełnienie oczekiwań organu. To z kolei prowadzi nie tylko do wzrostu kosztów po stronie przedsiębiorcy, ale również do znacznego wydłużenia (i tak już długotrwałego) postępowania, a co z kolei przekłada się na funkcjonowanie instalacji (</w:t>
      </w:r>
      <w:r>
        <w:rPr>
          <w:i/>
        </w:rPr>
        <w:t xml:space="preserve">ergo </w:t>
      </w:r>
      <w:r>
        <w:t xml:space="preserve">możliwość zagospodarowania odpadów). Przedstawiony problem nie jest jedynym mankamentem tego rodzaju postępowań. Kolejnym – równie istotnym – zagadnieniem są „problemy komunikacyjne” między prowadzącymi instalacje a organami administracji. Innymi słowy – często dochodzi do przypadków, kiedy przedstawiona przez prowadzącego instalację argumentacja (interpretacja) dotycząca spełnienia danego BAT-u nie jest w ogóle brana pod uwagę przez organ (pomimo jej oczywistej trafności) i prowadzi do bezzasadnego żądania od przedsiębiorcy spełnienia dodatkowych wymogów. Tego rodzaju konflikt w postępowaniu pierwszoinstancyjnym jest w zasadzie nierozwiązywalny, co z kolei prowadzi do kolejnego wydłużenia postępowania z uwagi na konieczność uruchomienia postępowania odwoławczego. </w:t>
      </w:r>
    </w:p>
    <w:p w:rsidR="00876F87" w:rsidRDefault="00876F87" w:rsidP="00876F87">
      <w:pPr>
        <w:tabs>
          <w:tab w:val="left" w:pos="3969"/>
        </w:tabs>
        <w:spacing w:line="276" w:lineRule="auto"/>
        <w:jc w:val="both"/>
      </w:pPr>
      <w:r>
        <w:t xml:space="preserve">W świetle powyższego już tutaj konieczne jest zwrócenie uwagi, że brak dostosowania instalacji do nowych wymogów (co jest przede wszystkim wynikiem ww. wadliwości w procedowaniu tego rodzaju spraw) prowadzi do konieczności wstrzymania eksploatacji części lub całości instalacji, a to z uwagi na możliwość przyjęcia przez organ, że zaistniały przesłanki z art. 195 ust. 1 p.o.ś., czyli podstawy do cofnięcia lub ograniczenia pozwolenia zintegrowanego bez odszkodowania z uwagi na naruszenia przepisów (wymogów konkluzji BAT). To z kolei – mając na względzie, że gospodarowanie odpadami jest działalnością wysoko wyspecjalizowaną, zaś grono przedsiębiorców posiadających technologię odpowiadającą restrykcyjnym wymaganiom jest </w:t>
      </w:r>
      <w:r>
        <w:rPr>
          <w:i/>
        </w:rPr>
        <w:t xml:space="preserve">de facto </w:t>
      </w:r>
      <w:r>
        <w:t xml:space="preserve">niewielkie – może prowadzić do faktycznego sparaliżowania możliwości bezpiecznego zagospodarowania odpadów nawet na terenie całej Polski (tj. zwiększenia się i tak już istniejącego problemu z zagospodarowaniem odpadów), a co może skutkować powstaniem tzw. bomb ekologicznych. </w:t>
      </w:r>
    </w:p>
    <w:p w:rsidR="00876F87" w:rsidRDefault="00876F87" w:rsidP="00876F87">
      <w:pPr>
        <w:tabs>
          <w:tab w:val="left" w:pos="3969"/>
        </w:tabs>
        <w:spacing w:line="276" w:lineRule="auto"/>
        <w:jc w:val="both"/>
      </w:pPr>
      <w:r>
        <w:t xml:space="preserve">Tym samym wydaje się niezbędna interwencja mająca na celu podjęcie działań (rozmów) do  wypracowania wspólnego stanowiska co do sposobu interpretacji poszczególnych konkluzji BAT w Polsce. Co więcej – z uwagi na trwający stan epidemii COVID-19 (obejmujący połowę czasu przewidzianego na wdrożenie konkluzji BAT – 2 z 4 lat) i związane z nim liczne trudności w prowadzeniu procesów </w:t>
      </w:r>
      <w:r>
        <w:lastRenderedPageBreak/>
        <w:t>inwestycyjnych - należy zwrócić uwagę na niezbędność wprowadzenia możliwości wydłużenia terminu na wdrożenie konkluzji BAT wynikających z ww. Decyzji wykonawczej</w:t>
      </w:r>
      <w:r w:rsidRPr="00091669">
        <w:t xml:space="preserve"> Komisji (UE) 2018/1147</w:t>
      </w:r>
      <w:r>
        <w:t xml:space="preserve">. </w:t>
      </w:r>
    </w:p>
    <w:p w:rsidR="00876F87" w:rsidRDefault="00876F87" w:rsidP="00876F87">
      <w:pPr>
        <w:tabs>
          <w:tab w:val="left" w:pos="3969"/>
        </w:tabs>
        <w:spacing w:line="276" w:lineRule="auto"/>
        <w:jc w:val="both"/>
      </w:pPr>
    </w:p>
    <w:p w:rsidR="00876F87" w:rsidRDefault="00876F87" w:rsidP="00876F87">
      <w:pPr>
        <w:tabs>
          <w:tab w:val="left" w:pos="3969"/>
        </w:tabs>
        <w:spacing w:line="276" w:lineRule="auto"/>
        <w:jc w:val="both"/>
      </w:pPr>
      <w:r>
        <w:t xml:space="preserve">Omawiając problematykę konkluzji BAT nie można również pominąć kwestii uregulowanej w art. 204 ust. 2 p.o.ś., a więc możliwości uzyskania odstępstwa od granicznych wielkości emisyjnych. Przepis ten stanowi istotną z punktu widzenia prowadzenia działalności gospodarczej regulację, niemniej równie problematyczną w praktyce organów administracji. I tak, pierwszym problemem w jego stosowaniu jest zbyt daleko idąca uznaniowość organu administracji, która prowadzi do częstych nieuzasadnionych odmów uwzględnienia wniosku prowadzącego instalację. Brak udzielenia odstępstwa powoduje z kolei już wcześniej wspomniane negatywne skutki związane z koniecznością wstrzymania (a nawet zakończenia) działalności. Dalej, w przepisach ustawy – Prawo ochrony środowiska brak jest podstawy prawnej umożliwiającej udzielenie odstępstwa od zastosowania najlepszych dostępnych </w:t>
      </w:r>
      <w:r>
        <w:rPr>
          <w:u w:val="single"/>
        </w:rPr>
        <w:t>technik</w:t>
      </w:r>
      <w:r>
        <w:t>. Ponad powyższe występuje również inny negatywny skutek braku ww. unormowania, tj. brak możliwości udzielenia czasowego odstępstwa od obowiązku zastosowania konkretnej techniki w sytuacji, kiedy konkluzja BAT nie określa granicznych wielkości emisyjnych i gdy nie jest możliwe terminowe wdrożenie technik wskazanych w konkluzji BAT lub technik alternatywnych. Tutaj trzeba podkreślić, że wprowadzenie takiego rozwiązania do systemu prawa jest niezbędne, ponieważ wskazane sytuacja może mieć miejsce np. w przypadku długotrwałego prowadzenia innych postępowań, których rozstrzygnięcia umożliwiają przeprowadzenie konkretnych prac modernizacyjnych w tym budowlanych. Zauważyć bowiem należy, że pierwszą decyzją, która jest wymagana w toku procesu inwestycyjnego jest decyzja określająca środowiskowe uwarunkowania realizacji przedsięwzięcia (art. 72 ust. 1 ustawy środowiskowej</w:t>
      </w:r>
      <w:r>
        <w:rPr>
          <w:rStyle w:val="Odwoanieprzypisudolnego"/>
        </w:rPr>
        <w:footnoteReference w:id="2"/>
      </w:r>
      <w:r>
        <w:t xml:space="preserve">, dalej jako u.o.o.ś.), zaś postępowanie zmierzające do jej wydania jest w istocie jednym z najdłuższych (może trwać nawet kilka lat). Wynika to nie tylko z konieczności przygotowania specjalistycznych dokumentów stanowiących załączniki do wniosku o jej wydanie (art. 74 ust. 1 pkt 1 u.o.o.ś.) czy konieczności przeprowadzenia postępowań w trybie współdziałania (art. 64 ust. 1 u.o.o.ś czy art. 75 ust. 1 u.o.o.ś.), ale również – a w zasadzie przede wszystkim – ze względu na bardzo szeroki udział społeczeństwa (art. 79 ust. 1 u.o.o.ś.) i organizacji ekologicznych (art. 44 i n. u.o.o.ś.). Podmioty te, dążące najczęściej do uniemożliwienia realizacji przedsięwzięcia, poprzez licznie składane subiektywne uwagi (niepoparte merytorycznymi argumentami), a dalej wnoszenie środków zaskarżenia prowadzą do obstrukcji postępowania. Przedłużenie omawianego postępowania przekłada się z kolei na opóźnienie w uzyskiwaniu dalszych decyzji, jak np. decyzji o warunkach zabudowy (o ile jest wymagana) czy decyzji udzielającej pozwolenia na budowę. To zaś skutkuje brakiem możliwości dostosowania instalacji do konkluzji BAT w wymaganym terminie, co nie jest jednak wynikiem zawinionego działania podmiotu prowadzącego instalację, ale wynika z obiektywnej niemożności </w:t>
      </w:r>
      <w:r>
        <w:lastRenderedPageBreak/>
        <w:t>wdrożenia nowych rozwiązań w wyznaczonych ramach czasowych. Także w tym zakresie niezbędna wydaje się interwencja (inicjatywa ustawodawcza), która przyczyni się do skoordynowania wskazanych postępowań i usprawnienia procesu inwestycyjnego (dostosowania instalacji do konkluzji BAT)</w:t>
      </w:r>
      <w:r w:rsidDel="009536AC">
        <w:t xml:space="preserve"> </w:t>
      </w:r>
    </w:p>
    <w:p w:rsidR="00876F87" w:rsidRPr="00EE53D3" w:rsidRDefault="00876F87" w:rsidP="00876F87">
      <w:pPr>
        <w:tabs>
          <w:tab w:val="left" w:pos="3969"/>
        </w:tabs>
        <w:spacing w:line="276" w:lineRule="auto"/>
        <w:jc w:val="both"/>
      </w:pPr>
      <w:r>
        <w:t>Reasumując, należy podkreślić, że gospodarowanie odpadami jest z jednej strony działalnością mogącą powodować opory społeczne, ale przede wszystkim jest działalnością prowadzoną w interesie publicznym rozumianym jako zagwarantowanie bezpiecznego zagospodarowania odpadów (w szczególności wzrastającej ilości odpadów komunalnych) i poprzez to zapewnienie ochrony dobra wspólnego jakim jest środowisko. Zwracamy się zatem o podjęcie stosownych działań legislacyjnych  oraz przystąpienie do rozmów mających na celu wypracowanie wspólnego stanowiska.</w:t>
      </w:r>
    </w:p>
    <w:p w:rsidR="005E5D3C" w:rsidRPr="00FD6419" w:rsidRDefault="006A1A5C" w:rsidP="009544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D641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</w:t>
      </w:r>
    </w:p>
    <w:p w:rsidR="00876F87" w:rsidRDefault="00876F87" w:rsidP="005E5D3C">
      <w:pPr>
        <w:autoSpaceDE w:val="0"/>
        <w:autoSpaceDN w:val="0"/>
        <w:adjustRightInd w:val="0"/>
        <w:spacing w:after="0" w:line="240" w:lineRule="auto"/>
        <w:ind w:left="5245"/>
        <w:rPr>
          <w:rFonts w:ascii="Calibri" w:hAnsi="Calibri" w:cs="Calibri"/>
          <w:b/>
          <w:bCs/>
          <w:color w:val="000000"/>
          <w:szCs w:val="24"/>
        </w:rPr>
      </w:pPr>
    </w:p>
    <w:sectPr w:rsidR="00876F87" w:rsidSect="00FD6419">
      <w:headerReference w:type="default" r:id="rId7"/>
      <w:footerReference w:type="even" r:id="rId8"/>
      <w:pgSz w:w="11906" w:h="16838"/>
      <w:pgMar w:top="568" w:right="1417" w:bottom="993" w:left="1417" w:header="708" w:footer="5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B6" w:rsidRDefault="00D146B6" w:rsidP="001609CA">
      <w:pPr>
        <w:spacing w:after="0" w:line="240" w:lineRule="auto"/>
      </w:pPr>
      <w:r>
        <w:separator/>
      </w:r>
    </w:p>
  </w:endnote>
  <w:endnote w:type="continuationSeparator" w:id="0">
    <w:p w:rsidR="00D146B6" w:rsidRDefault="00D146B6" w:rsidP="0016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CA" w:rsidRDefault="001609CA" w:rsidP="001609C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B6" w:rsidRDefault="00D146B6" w:rsidP="001609CA">
      <w:pPr>
        <w:spacing w:after="0" w:line="240" w:lineRule="auto"/>
      </w:pPr>
      <w:r>
        <w:separator/>
      </w:r>
    </w:p>
  </w:footnote>
  <w:footnote w:type="continuationSeparator" w:id="0">
    <w:p w:rsidR="00D146B6" w:rsidRDefault="00D146B6" w:rsidP="001609CA">
      <w:pPr>
        <w:spacing w:after="0" w:line="240" w:lineRule="auto"/>
      </w:pPr>
      <w:r>
        <w:continuationSeparator/>
      </w:r>
    </w:p>
  </w:footnote>
  <w:footnote w:id="1">
    <w:p w:rsidR="00876F87" w:rsidRDefault="00876F87" w:rsidP="00876F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5CC4">
        <w:t>Ustawa z dnia 27 kwietnia 2001 r. Prawo ochrony środowiska (t.j. Dz. U. z 2020 r. poz. 1219 z późn. zm.).</w:t>
      </w:r>
    </w:p>
  </w:footnote>
  <w:footnote w:id="2">
    <w:p w:rsidR="00876F87" w:rsidRDefault="00876F87" w:rsidP="00876F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57FD">
        <w:t>Ustawa z dnia 3 października 2008 r. o udostępnianiu informacji o środowisku i jego ochronie, udziale społeczeństwa w ochronie środowiska oraz o ocenach oddziaływania na środowisko (t.j. Dz. U. z 2021 r. poz. 247 z późn. zm.).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CA" w:rsidRPr="001609CA" w:rsidRDefault="001609CA" w:rsidP="001609CA">
    <w:pPr>
      <w:pStyle w:val="Nagwek"/>
      <w:jc w:val="cent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2E2"/>
    <w:multiLevelType w:val="multilevel"/>
    <w:tmpl w:val="1FE61AF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CB3396B"/>
    <w:multiLevelType w:val="multilevel"/>
    <w:tmpl w:val="CD0A7F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ED164E8"/>
    <w:multiLevelType w:val="hybridMultilevel"/>
    <w:tmpl w:val="D888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E7D94"/>
    <w:multiLevelType w:val="hybridMultilevel"/>
    <w:tmpl w:val="5B30C660"/>
    <w:lvl w:ilvl="0" w:tplc="3C34F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A4579B"/>
    <w:multiLevelType w:val="hybridMultilevel"/>
    <w:tmpl w:val="3F60D66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4C75780C"/>
    <w:multiLevelType w:val="hybridMultilevel"/>
    <w:tmpl w:val="33222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B286E"/>
    <w:multiLevelType w:val="hybridMultilevel"/>
    <w:tmpl w:val="A1A4B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560806"/>
    <w:multiLevelType w:val="hybridMultilevel"/>
    <w:tmpl w:val="F9F8619C"/>
    <w:lvl w:ilvl="0" w:tplc="6F50D402">
      <w:numFmt w:val="bullet"/>
      <w:lvlText w:val="•"/>
      <w:lvlJc w:val="left"/>
      <w:pPr>
        <w:ind w:left="1413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619146F"/>
    <w:multiLevelType w:val="hybridMultilevel"/>
    <w:tmpl w:val="189A1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A5565C"/>
    <w:multiLevelType w:val="hybridMultilevel"/>
    <w:tmpl w:val="1C4AA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E2EF4"/>
    <w:rsid w:val="00010D8E"/>
    <w:rsid w:val="000640EA"/>
    <w:rsid w:val="0012076C"/>
    <w:rsid w:val="001609CA"/>
    <w:rsid w:val="00163AB5"/>
    <w:rsid w:val="00166858"/>
    <w:rsid w:val="001D7711"/>
    <w:rsid w:val="001F3EBC"/>
    <w:rsid w:val="0023288A"/>
    <w:rsid w:val="0025093A"/>
    <w:rsid w:val="00266AF0"/>
    <w:rsid w:val="00271088"/>
    <w:rsid w:val="00281E01"/>
    <w:rsid w:val="002908F5"/>
    <w:rsid w:val="002B5535"/>
    <w:rsid w:val="00335179"/>
    <w:rsid w:val="00367946"/>
    <w:rsid w:val="00402BF9"/>
    <w:rsid w:val="00437894"/>
    <w:rsid w:val="0044093F"/>
    <w:rsid w:val="004462E7"/>
    <w:rsid w:val="0045088A"/>
    <w:rsid w:val="004605E4"/>
    <w:rsid w:val="004C4E37"/>
    <w:rsid w:val="004C59E2"/>
    <w:rsid w:val="004C7BA5"/>
    <w:rsid w:val="004D5059"/>
    <w:rsid w:val="004E35D0"/>
    <w:rsid w:val="005156E2"/>
    <w:rsid w:val="0055441B"/>
    <w:rsid w:val="0056610B"/>
    <w:rsid w:val="0056628E"/>
    <w:rsid w:val="00582CAB"/>
    <w:rsid w:val="005B21C8"/>
    <w:rsid w:val="005C41B7"/>
    <w:rsid w:val="005C4866"/>
    <w:rsid w:val="005E2EF4"/>
    <w:rsid w:val="005E5D3C"/>
    <w:rsid w:val="00681B7E"/>
    <w:rsid w:val="006A1A5C"/>
    <w:rsid w:val="006F445E"/>
    <w:rsid w:val="0071253B"/>
    <w:rsid w:val="007F0FCA"/>
    <w:rsid w:val="0080273D"/>
    <w:rsid w:val="00876F87"/>
    <w:rsid w:val="008C3414"/>
    <w:rsid w:val="009078A5"/>
    <w:rsid w:val="0095441F"/>
    <w:rsid w:val="00962609"/>
    <w:rsid w:val="00972DE4"/>
    <w:rsid w:val="00980074"/>
    <w:rsid w:val="0098052C"/>
    <w:rsid w:val="009A70CF"/>
    <w:rsid w:val="009F0B2B"/>
    <w:rsid w:val="00A40938"/>
    <w:rsid w:val="00A423C7"/>
    <w:rsid w:val="00A45DB6"/>
    <w:rsid w:val="00A5608A"/>
    <w:rsid w:val="00A743A7"/>
    <w:rsid w:val="00A8293A"/>
    <w:rsid w:val="00AB271F"/>
    <w:rsid w:val="00B04D87"/>
    <w:rsid w:val="00B06485"/>
    <w:rsid w:val="00B108A2"/>
    <w:rsid w:val="00B249C6"/>
    <w:rsid w:val="00B258E3"/>
    <w:rsid w:val="00BE07D5"/>
    <w:rsid w:val="00BF7446"/>
    <w:rsid w:val="00C159D8"/>
    <w:rsid w:val="00C564DD"/>
    <w:rsid w:val="00C94F59"/>
    <w:rsid w:val="00CC6EAB"/>
    <w:rsid w:val="00CE7883"/>
    <w:rsid w:val="00D146B6"/>
    <w:rsid w:val="00D845A4"/>
    <w:rsid w:val="00DA41B3"/>
    <w:rsid w:val="00DB14DA"/>
    <w:rsid w:val="00DD0EC4"/>
    <w:rsid w:val="00EC6E92"/>
    <w:rsid w:val="00EE3E08"/>
    <w:rsid w:val="00EF29D4"/>
    <w:rsid w:val="00F23F63"/>
    <w:rsid w:val="00FD6419"/>
    <w:rsid w:val="00FF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B7E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B7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1B7E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1B7E"/>
    <w:rPr>
      <w:rFonts w:ascii="Arial" w:eastAsiaTheme="majorEastAsia" w:hAnsi="Arial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1B7E"/>
    <w:rPr>
      <w:rFonts w:ascii="Arial" w:eastAsiaTheme="majorEastAsia" w:hAnsi="Arial" w:cstheme="majorBidi"/>
      <w:sz w:val="28"/>
      <w:szCs w:val="26"/>
    </w:rPr>
  </w:style>
  <w:style w:type="character" w:styleId="Hipercze">
    <w:name w:val="Hyperlink"/>
    <w:basedOn w:val="Domylnaczcionkaakapitu"/>
    <w:uiPriority w:val="99"/>
    <w:unhideWhenUsed/>
    <w:rsid w:val="004C59E2"/>
    <w:rPr>
      <w:color w:val="0563C1" w:themeColor="hyperlink"/>
      <w:u w:val="single"/>
    </w:rPr>
  </w:style>
  <w:style w:type="paragraph" w:customStyle="1" w:styleId="ARTartustawynprozporzdzenia">
    <w:name w:val="ART(§) – art. ustawy (§ np. rozporządzenia)"/>
    <w:basedOn w:val="Normalny"/>
    <w:rsid w:val="00271088"/>
    <w:pPr>
      <w:autoSpaceDE w:val="0"/>
      <w:autoSpaceDN w:val="0"/>
      <w:spacing w:before="120" w:after="0" w:line="360" w:lineRule="auto"/>
      <w:ind w:firstLine="510"/>
      <w:jc w:val="both"/>
    </w:pPr>
    <w:rPr>
      <w:rFonts w:ascii="Times" w:hAnsi="Times" w:cs="Times"/>
      <w:szCs w:val="24"/>
      <w:lang w:eastAsia="pl-PL"/>
    </w:rPr>
  </w:style>
  <w:style w:type="character" w:customStyle="1" w:styleId="IDindeksdolny">
    <w:name w:val="_ID_ – indeks dolny"/>
    <w:basedOn w:val="Domylnaczcionkaakapitu"/>
    <w:uiPriority w:val="99"/>
    <w:rsid w:val="00271088"/>
    <w:rPr>
      <w:spacing w:val="0"/>
      <w:vertAlign w:val="sub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9CA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6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9CA"/>
    <w:rPr>
      <w:rFonts w:ascii="Arial" w:hAnsi="Arial"/>
      <w:sz w:val="24"/>
    </w:rPr>
  </w:style>
  <w:style w:type="paragraph" w:customStyle="1" w:styleId="Default">
    <w:name w:val="Default"/>
    <w:rsid w:val="00160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662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F87"/>
    <w:pPr>
      <w:spacing w:after="0" w:line="240" w:lineRule="auto"/>
      <w:jc w:val="both"/>
    </w:pPr>
    <w:rPr>
      <w:rFonts w:ascii="Garamond" w:hAnsi="Garamond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F87"/>
    <w:rPr>
      <w:rFonts w:ascii="Garamond" w:hAnsi="Garamond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F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1419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Szewczyk</dc:creator>
  <cp:lastModifiedBy>kkawczynski</cp:lastModifiedBy>
  <cp:revision>4</cp:revision>
  <cp:lastPrinted>2021-11-09T09:08:00Z</cp:lastPrinted>
  <dcterms:created xsi:type="dcterms:W3CDTF">2021-10-14T07:15:00Z</dcterms:created>
  <dcterms:modified xsi:type="dcterms:W3CDTF">2021-11-09T09:08:00Z</dcterms:modified>
</cp:coreProperties>
</file>