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AAFA" w14:textId="77777777" w:rsidR="0041600D" w:rsidRPr="00F8366B" w:rsidRDefault="0041600D" w:rsidP="0033054B">
      <w:pPr>
        <w:pStyle w:val="Nagwek1"/>
        <w:jc w:val="center"/>
        <w:rPr>
          <w:rFonts w:ascii="Times New Roman" w:hAnsi="Times New Roman"/>
          <w:sz w:val="24"/>
          <w:szCs w:val="24"/>
        </w:rPr>
      </w:pPr>
      <w:r w:rsidRPr="00F8366B">
        <w:rPr>
          <w:rFonts w:ascii="Times New Roman" w:hAnsi="Times New Roman"/>
          <w:sz w:val="24"/>
          <w:szCs w:val="24"/>
        </w:rPr>
        <w:t>Uzasadnienie</w:t>
      </w:r>
    </w:p>
    <w:p w14:paraId="1599155C" w14:textId="77777777" w:rsidR="003C3F6B" w:rsidRPr="00F8366B" w:rsidRDefault="003C3F6B" w:rsidP="003C3F6B"/>
    <w:p w14:paraId="3A55E72F" w14:textId="24DB3C64" w:rsidR="00156F18" w:rsidRPr="00F8366B" w:rsidRDefault="00D8396C" w:rsidP="00EC2739">
      <w:pPr>
        <w:spacing w:line="360" w:lineRule="auto"/>
        <w:jc w:val="both"/>
      </w:pPr>
      <w:r w:rsidRPr="00F8366B">
        <w:t>Projektowan</w:t>
      </w:r>
      <w:r w:rsidR="00023365">
        <w:t>e</w:t>
      </w:r>
      <w:r w:rsidRPr="00F8366B">
        <w:t xml:space="preserve"> zmian</w:t>
      </w:r>
      <w:r w:rsidR="00023365">
        <w:t>y</w:t>
      </w:r>
      <w:r w:rsidRPr="00F8366B">
        <w:t xml:space="preserve"> rozporządzenia </w:t>
      </w:r>
      <w:r w:rsidR="00A32396" w:rsidRPr="00F8366B">
        <w:t xml:space="preserve">Ministra Finansów </w:t>
      </w:r>
      <w:r w:rsidR="00BE6557" w:rsidRPr="00F8366B">
        <w:t xml:space="preserve">z dnia </w:t>
      </w:r>
      <w:r w:rsidR="006B6ABF" w:rsidRPr="00F8366B">
        <w:t xml:space="preserve">20 sierpnia 2020 r. </w:t>
      </w:r>
      <w:r w:rsidR="006B6ABF" w:rsidRPr="00F8366B">
        <w:rPr>
          <w:i/>
        </w:rPr>
        <w:t xml:space="preserve">w sprawie towarów, których przewóz jest objęty systemem monitorowania drogowego i kolejowego przewozu towarów oraz obrotu paliwami opałowymi </w:t>
      </w:r>
      <w:r w:rsidR="006B6ABF" w:rsidRPr="00F8366B">
        <w:t>(Dz. U. poz. 1477</w:t>
      </w:r>
      <w:r w:rsidR="005D781E" w:rsidRPr="00F8366B">
        <w:t>, z</w:t>
      </w:r>
      <w:r w:rsidR="00921268" w:rsidRPr="00F8366B">
        <w:t xml:space="preserve"> </w:t>
      </w:r>
      <w:proofErr w:type="spellStart"/>
      <w:r w:rsidR="00921268" w:rsidRPr="00F8366B">
        <w:t>późn</w:t>
      </w:r>
      <w:proofErr w:type="spellEnd"/>
      <w:r w:rsidR="00921268" w:rsidRPr="00F8366B">
        <w:t xml:space="preserve">. </w:t>
      </w:r>
      <w:r w:rsidR="005D781E" w:rsidRPr="00F8366B">
        <w:t>zm.</w:t>
      </w:r>
      <w:r w:rsidR="006B6ABF" w:rsidRPr="00F8366B">
        <w:t>)</w:t>
      </w:r>
      <w:r w:rsidRPr="00F8366B">
        <w:t xml:space="preserve">, </w:t>
      </w:r>
      <w:r w:rsidR="00F00F27" w:rsidRPr="00F8366B">
        <w:t xml:space="preserve">wydanego na podstawie art. </w:t>
      </w:r>
      <w:r w:rsidR="00BE6557" w:rsidRPr="00F8366B">
        <w:t>3</w:t>
      </w:r>
      <w:r w:rsidR="00F00F27" w:rsidRPr="00F8366B">
        <w:t xml:space="preserve"> ust. </w:t>
      </w:r>
      <w:r w:rsidR="00BE6557" w:rsidRPr="00F8366B">
        <w:t>11</w:t>
      </w:r>
      <w:r w:rsidR="00F00F27" w:rsidRPr="00F8366B">
        <w:t xml:space="preserve"> ustawy z dnia 9 marca 2017</w:t>
      </w:r>
      <w:r w:rsidR="00B3190B" w:rsidRPr="00F8366B">
        <w:t> </w:t>
      </w:r>
      <w:r w:rsidR="00F00F27" w:rsidRPr="00F8366B">
        <w:t>r</w:t>
      </w:r>
      <w:r w:rsidR="00F00F27" w:rsidRPr="00F8366B">
        <w:rPr>
          <w:i/>
        </w:rPr>
        <w:t>. o systemie monitorowania drogowego i</w:t>
      </w:r>
      <w:r w:rsidR="000E6F1C" w:rsidRPr="00F8366B">
        <w:rPr>
          <w:i/>
        </w:rPr>
        <w:t> </w:t>
      </w:r>
      <w:r w:rsidR="00F00F27" w:rsidRPr="00F8366B">
        <w:rPr>
          <w:i/>
        </w:rPr>
        <w:t>kolejowego przewozu towarów</w:t>
      </w:r>
      <w:r w:rsidR="00F00F27" w:rsidRPr="00F8366B">
        <w:t xml:space="preserve"> </w:t>
      </w:r>
      <w:r w:rsidR="00BE6557" w:rsidRPr="00F8366B">
        <w:rPr>
          <w:i/>
        </w:rPr>
        <w:t>oraz obrotu paliwami opałowymi</w:t>
      </w:r>
      <w:r w:rsidR="00BE6557" w:rsidRPr="00F8366B">
        <w:t xml:space="preserve"> (Dz. U. z </w:t>
      </w:r>
      <w:r w:rsidR="006B6ABF" w:rsidRPr="00F8366B">
        <w:t>202</w:t>
      </w:r>
      <w:r w:rsidR="00156F18" w:rsidRPr="00F8366B">
        <w:t>1</w:t>
      </w:r>
      <w:r w:rsidR="006B6ABF" w:rsidRPr="00F8366B">
        <w:t xml:space="preserve"> r. poz. </w:t>
      </w:r>
      <w:r w:rsidR="00156F18" w:rsidRPr="00F8366B">
        <w:t>1857</w:t>
      </w:r>
      <w:r w:rsidR="006B6ABF" w:rsidRPr="00F8366B">
        <w:t>)</w:t>
      </w:r>
      <w:r w:rsidR="008666DD" w:rsidRPr="00F8366B">
        <w:t xml:space="preserve"> – dalej </w:t>
      </w:r>
      <w:r w:rsidR="002C10D0" w:rsidRPr="00F8366B">
        <w:t>„</w:t>
      </w:r>
      <w:r w:rsidR="008666DD" w:rsidRPr="00F8366B">
        <w:t>ustawa o SENT</w:t>
      </w:r>
      <w:r w:rsidR="002C10D0" w:rsidRPr="00F8366B">
        <w:t>”</w:t>
      </w:r>
      <w:r w:rsidR="008666DD" w:rsidRPr="00F8366B">
        <w:t>,</w:t>
      </w:r>
      <w:r w:rsidR="006B6ABF" w:rsidRPr="00F8366B">
        <w:t xml:space="preserve"> </w:t>
      </w:r>
      <w:r w:rsidR="007D2F54" w:rsidRPr="00F8366B">
        <w:t>wynika</w:t>
      </w:r>
      <w:r w:rsidR="00023365">
        <w:t>ją</w:t>
      </w:r>
      <w:r w:rsidR="007D2F54" w:rsidRPr="00F8366B">
        <w:t xml:space="preserve"> z</w:t>
      </w:r>
      <w:r w:rsidR="006B6ABF" w:rsidRPr="00F8366B">
        <w:t xml:space="preserve"> </w:t>
      </w:r>
      <w:r w:rsidR="00552A2D" w:rsidRPr="00F8366B">
        <w:t xml:space="preserve">potrzeby objęcia </w:t>
      </w:r>
      <w:r w:rsidR="004D43B3" w:rsidRPr="00F8366B">
        <w:t>systemem monitorowani</w:t>
      </w:r>
      <w:r w:rsidR="00A251AC" w:rsidRPr="00F8366B">
        <w:t>a</w:t>
      </w:r>
      <w:r w:rsidR="00552A2D" w:rsidRPr="00F8366B">
        <w:t xml:space="preserve"> </w:t>
      </w:r>
      <w:r w:rsidR="00156F18" w:rsidRPr="00F8366B">
        <w:t>towarów</w:t>
      </w:r>
      <w:r w:rsidR="00552A2D" w:rsidRPr="00F8366B">
        <w:t xml:space="preserve"> objętych pozycją CN 3814 zawierających 70% masy lub więcej olejów ropy naftowej</w:t>
      </w:r>
      <w:r w:rsidR="00156F18" w:rsidRPr="00F8366B">
        <w:t xml:space="preserve">, </w:t>
      </w:r>
      <w:r w:rsidR="00552A2D" w:rsidRPr="00F8366B">
        <w:t xml:space="preserve">innych niż </w:t>
      </w:r>
      <w:r w:rsidR="004D43B3" w:rsidRPr="00F8366B">
        <w:t xml:space="preserve">towary </w:t>
      </w:r>
      <w:r w:rsidR="00156F18" w:rsidRPr="00F8366B">
        <w:t xml:space="preserve">objęte tą pozycją zawierające alkohol etylowy. Dodatkowo </w:t>
      </w:r>
      <w:r w:rsidR="00F8366B" w:rsidRPr="00F8366B">
        <w:t>Ministerstwo Klimatu i</w:t>
      </w:r>
      <w:r w:rsidR="00F8366B">
        <w:t> </w:t>
      </w:r>
      <w:r w:rsidR="00F8366B" w:rsidRPr="00F8366B">
        <w:t xml:space="preserve">Środowiska oraz Główny Inspektor Ochrony Środowiska, </w:t>
      </w:r>
      <w:r w:rsidR="00156F18" w:rsidRPr="00F8366B">
        <w:t>zgłos</w:t>
      </w:r>
      <w:r w:rsidR="00F8366B" w:rsidRPr="00F8366B">
        <w:t>ili</w:t>
      </w:r>
      <w:r w:rsidR="00156F18" w:rsidRPr="00F8366B">
        <w:t xml:space="preserve"> piln</w:t>
      </w:r>
      <w:r w:rsidR="00F8366B" w:rsidRPr="00F8366B">
        <w:t>y</w:t>
      </w:r>
      <w:r w:rsidR="00156F18" w:rsidRPr="00F8366B">
        <w:t xml:space="preserve"> wnios</w:t>
      </w:r>
      <w:r w:rsidR="00F8366B" w:rsidRPr="00F8366B">
        <w:t>ek</w:t>
      </w:r>
      <w:r w:rsidR="00156F18" w:rsidRPr="00F8366B">
        <w:t xml:space="preserve"> dotycząc</w:t>
      </w:r>
      <w:r w:rsidR="00F8366B" w:rsidRPr="00F8366B">
        <w:t xml:space="preserve">y </w:t>
      </w:r>
      <w:r w:rsidR="00156F18" w:rsidRPr="00F8366B">
        <w:t xml:space="preserve">objęcia systemem SENT przewozów odpadów </w:t>
      </w:r>
      <w:r w:rsidR="005D5741">
        <w:t>podlegających przywozowi do kraju oraz przewozowi przez terytorium kraju</w:t>
      </w:r>
      <w:r w:rsidR="00156F18" w:rsidRPr="00F8366B">
        <w:t>.</w:t>
      </w:r>
      <w:r w:rsidR="00F8366B" w:rsidRPr="00F8366B">
        <w:t xml:space="preserve"> </w:t>
      </w:r>
    </w:p>
    <w:p w14:paraId="6CDB8B70" w14:textId="77777777" w:rsidR="00985D21" w:rsidRDefault="00985D21" w:rsidP="00EC2739">
      <w:pPr>
        <w:spacing w:line="360" w:lineRule="auto"/>
        <w:jc w:val="both"/>
      </w:pPr>
    </w:p>
    <w:p w14:paraId="398BCD14" w14:textId="4550A235" w:rsidR="008666DD" w:rsidRPr="00F8366B" w:rsidRDefault="00E607BF" w:rsidP="00EC2739">
      <w:pPr>
        <w:spacing w:line="360" w:lineRule="auto"/>
        <w:jc w:val="both"/>
      </w:pPr>
      <w:r w:rsidRPr="00F8366B">
        <w:t xml:space="preserve">U podstaw </w:t>
      </w:r>
      <w:r w:rsidR="00A251AC" w:rsidRPr="00F8366B">
        <w:t xml:space="preserve">projektowanych </w:t>
      </w:r>
      <w:r w:rsidRPr="00F8366B">
        <w:t>zmian</w:t>
      </w:r>
      <w:r w:rsidR="003932FA" w:rsidRPr="00F8366B">
        <w:t xml:space="preserve"> w zakresie towarów o kodzie CN 3814</w:t>
      </w:r>
      <w:r w:rsidRPr="00F8366B">
        <w:t xml:space="preserve"> leży ryzyko związane </w:t>
      </w:r>
      <w:r w:rsidR="005D5741">
        <w:t xml:space="preserve">z nowym sposobem klasyfikowania wyrobów będących przedmiotem ewentualnych nadużyć, powstałe w wyniku wejścia </w:t>
      </w:r>
      <w:r w:rsidR="00634B71" w:rsidRPr="00F8366B">
        <w:t>w ż</w:t>
      </w:r>
      <w:r w:rsidR="00A251AC" w:rsidRPr="00F8366B">
        <w:t xml:space="preserve">ycie </w:t>
      </w:r>
      <w:r w:rsidR="002C10D0" w:rsidRPr="00F8366B">
        <w:t xml:space="preserve">Rozporządzenia Wykonawczego Komisji </w:t>
      </w:r>
      <w:r w:rsidRPr="00F8366B">
        <w:t xml:space="preserve">(UE) 2020/725 z dnia 26 maja 2020 r. </w:t>
      </w:r>
      <w:r w:rsidRPr="00F8366B">
        <w:rPr>
          <w:i/>
        </w:rPr>
        <w:t>dotyczące</w:t>
      </w:r>
      <w:r w:rsidR="00470C43" w:rsidRPr="00F8366B">
        <w:rPr>
          <w:i/>
        </w:rPr>
        <w:t>go</w:t>
      </w:r>
      <w:r w:rsidRPr="00F8366B">
        <w:rPr>
          <w:i/>
        </w:rPr>
        <w:t xml:space="preserve"> klasyfikacji niektórych towarów według Nomenklatury Scalonej</w:t>
      </w:r>
      <w:r w:rsidRPr="00F8366B">
        <w:t xml:space="preserve"> (Dziennik Urzędowy Unii Europejskiej L170/14</w:t>
      </w:r>
      <w:r w:rsidR="00A67C24" w:rsidRPr="00F8366B">
        <w:t xml:space="preserve"> </w:t>
      </w:r>
      <w:r w:rsidRPr="00F8366B">
        <w:t>z dnia 2.06.2020 r</w:t>
      </w:r>
      <w:r w:rsidR="003A6177">
        <w:t>.</w:t>
      </w:r>
      <w:r w:rsidRPr="00F8366B">
        <w:t>)</w:t>
      </w:r>
      <w:r w:rsidR="002C10D0" w:rsidRPr="00F8366B">
        <w:t xml:space="preserve"> - dalej „rozporządzenie Komisji UE”</w:t>
      </w:r>
      <w:r w:rsidR="00985D21">
        <w:t>,</w:t>
      </w:r>
      <w:r w:rsidR="00547E84" w:rsidRPr="00F8366B">
        <w:t xml:space="preserve"> albowiem w</w:t>
      </w:r>
      <w:r w:rsidR="000932AF" w:rsidRPr="00F8366B">
        <w:t>yroby klasyfikowane do pozycji CN 3814, m.in. ze względu na jednostkową cenę oraz właściwości fizykochemiczne mogą stanowić źródło nielegalnych paliw napędowych (lub opałowych), w szczególności oleju napędowego.</w:t>
      </w:r>
    </w:p>
    <w:p w14:paraId="51768EA4" w14:textId="60F75CD9" w:rsidR="008E3ACA" w:rsidRPr="00F8366B" w:rsidRDefault="008666DD" w:rsidP="00EC2739">
      <w:pPr>
        <w:spacing w:line="360" w:lineRule="auto"/>
        <w:jc w:val="both"/>
      </w:pPr>
      <w:r w:rsidRPr="00F8366B">
        <w:t>Obecnie</w:t>
      </w:r>
      <w:r w:rsidR="002C10D0" w:rsidRPr="00F8366B">
        <w:t xml:space="preserve"> systemowi</w:t>
      </w:r>
      <w:r w:rsidR="000932AF" w:rsidRPr="00F8366B">
        <w:t xml:space="preserve"> </w:t>
      </w:r>
      <w:r w:rsidRPr="00F8366B">
        <w:t xml:space="preserve">SENT </w:t>
      </w:r>
      <w:r w:rsidR="002C10D0" w:rsidRPr="00F8366B">
        <w:t>podlegają</w:t>
      </w:r>
      <w:r w:rsidR="000932AF" w:rsidRPr="00F8366B">
        <w:t xml:space="preserve"> towary objęte pozycj</w:t>
      </w:r>
      <w:r w:rsidR="002C10D0" w:rsidRPr="00F8366B">
        <w:t>ą</w:t>
      </w:r>
      <w:r w:rsidR="000932AF" w:rsidRPr="00F8366B">
        <w:t xml:space="preserve"> CN 3814</w:t>
      </w:r>
      <w:r w:rsidR="002C10D0" w:rsidRPr="00F8366B">
        <w:t>,</w:t>
      </w:r>
      <w:r w:rsidR="000932AF" w:rsidRPr="00F8366B">
        <w:t xml:space="preserve"> zawierające w</w:t>
      </w:r>
      <w:r w:rsidR="00EC2739" w:rsidRPr="00F8366B">
        <w:t xml:space="preserve"> swoim składzie alkohol etylowy</w:t>
      </w:r>
      <w:r w:rsidR="00547E84" w:rsidRPr="00F8366B">
        <w:t xml:space="preserve">, jednakże z </w:t>
      </w:r>
      <w:r w:rsidR="00BE3BA6" w:rsidRPr="00F8366B">
        <w:rPr>
          <w:color w:val="000000"/>
        </w:rPr>
        <w:t>uwagi na</w:t>
      </w:r>
      <w:r w:rsidR="00EC2739" w:rsidRPr="00F8366B">
        <w:rPr>
          <w:color w:val="000000"/>
        </w:rPr>
        <w:t xml:space="preserve"> </w:t>
      </w:r>
      <w:r w:rsidR="00EC2739" w:rsidRPr="00F8366B">
        <w:t>właściwości fizykochemiczne</w:t>
      </w:r>
      <w:r w:rsidR="00BE3BA6" w:rsidRPr="00F8366B">
        <w:rPr>
          <w:color w:val="000000"/>
        </w:rPr>
        <w:t xml:space="preserve"> </w:t>
      </w:r>
      <w:r w:rsidR="006004DB" w:rsidRPr="00F8366B">
        <w:rPr>
          <w:color w:val="000000"/>
        </w:rPr>
        <w:t xml:space="preserve">niektórych wyrobów </w:t>
      </w:r>
      <w:r w:rsidR="0010373E" w:rsidRPr="00F8366B">
        <w:rPr>
          <w:color w:val="000000"/>
        </w:rPr>
        <w:t>kwalifikowanych do kodu CN 3814</w:t>
      </w:r>
      <w:r w:rsidR="00EC2739" w:rsidRPr="00F8366B">
        <w:rPr>
          <w:color w:val="000000"/>
        </w:rPr>
        <w:t xml:space="preserve">, które </w:t>
      </w:r>
      <w:r w:rsidR="00397670" w:rsidRPr="00F8366B">
        <w:rPr>
          <w:color w:val="000000"/>
        </w:rPr>
        <w:t xml:space="preserve">są </w:t>
      </w:r>
      <w:r w:rsidR="00EC2739" w:rsidRPr="00F8366B">
        <w:rPr>
          <w:color w:val="000000"/>
        </w:rPr>
        <w:t>zbliżone do parametrów handlowych olejów napędowych,</w:t>
      </w:r>
      <w:r w:rsidR="00BE3BA6" w:rsidRPr="00F8366B">
        <w:rPr>
          <w:color w:val="000000"/>
        </w:rPr>
        <w:t xml:space="preserve"> istnieje ryzyko nadużyć w zakresie kwalifikacji tych towarów.</w:t>
      </w:r>
      <w:r w:rsidR="0010373E" w:rsidRPr="00F8366B">
        <w:rPr>
          <w:color w:val="000000"/>
        </w:rPr>
        <w:t xml:space="preserve"> </w:t>
      </w:r>
      <w:r w:rsidR="008E3ACA" w:rsidRPr="00F8366B">
        <w:t xml:space="preserve">Istnieje </w:t>
      </w:r>
      <w:r w:rsidR="0010373E" w:rsidRPr="00F8366B">
        <w:t xml:space="preserve">bowiem </w:t>
      </w:r>
      <w:r w:rsidR="008E3ACA" w:rsidRPr="00F8366B">
        <w:t>grupa towarów, które poza bazą olejową, zawiera</w:t>
      </w:r>
      <w:r w:rsidR="0010373E" w:rsidRPr="00F8366B">
        <w:t>ją</w:t>
      </w:r>
      <w:r w:rsidR="008E3ACA" w:rsidRPr="00F8366B">
        <w:t xml:space="preserve"> kilka procent związków tlenowych. Takie oleje </w:t>
      </w:r>
      <w:r w:rsidR="00B00CB5" w:rsidRPr="00F8366B">
        <w:t xml:space="preserve">mogą być </w:t>
      </w:r>
      <w:r w:rsidR="008E3ACA" w:rsidRPr="00F8366B">
        <w:t>wprowadzane do obrotu jako oleje napędowe lub komponenty olejów napędowych</w:t>
      </w:r>
      <w:r w:rsidR="00B00CB5" w:rsidRPr="00F8366B">
        <w:t xml:space="preserve"> albo </w:t>
      </w:r>
      <w:r w:rsidR="00397670" w:rsidRPr="00F8366B">
        <w:t xml:space="preserve">mogą być </w:t>
      </w:r>
      <w:r w:rsidR="008E3ACA" w:rsidRPr="00F8366B">
        <w:t>stosowane jako rozpuszczalniki lub rozcieńczalniki w</w:t>
      </w:r>
      <w:r w:rsidR="00F8366B">
        <w:t> </w:t>
      </w:r>
      <w:r w:rsidR="008E3ACA" w:rsidRPr="00F8366B">
        <w:t xml:space="preserve">przemyśle (np. poligraficznym). </w:t>
      </w:r>
      <w:r w:rsidR="00B00CB5" w:rsidRPr="00F8366B">
        <w:t xml:space="preserve">Towary te </w:t>
      </w:r>
      <w:r w:rsidR="008E3ACA" w:rsidRPr="00F8366B">
        <w:t xml:space="preserve">były klasyfikowane do pozycji CN 2710, jako preparaty zawierające 70% lub więcej olejów ropy naftowej, jednak </w:t>
      </w:r>
      <w:r w:rsidR="00397670" w:rsidRPr="00F8366B">
        <w:t xml:space="preserve">na podstawie </w:t>
      </w:r>
      <w:r w:rsidR="008E3ACA" w:rsidRPr="00F8366B">
        <w:t xml:space="preserve">rozporządzenia Komisji </w:t>
      </w:r>
      <w:r w:rsidR="006004DB" w:rsidRPr="00F8366B">
        <w:t>UE</w:t>
      </w:r>
      <w:r w:rsidR="008E3ACA" w:rsidRPr="00F8366B">
        <w:t>, istnieje możliwość klasyfikacji przedmiotowych towarów do pozycji CN 3814</w:t>
      </w:r>
      <w:r w:rsidR="00397670" w:rsidRPr="00F8366B">
        <w:t xml:space="preserve"> w przypadku gdy</w:t>
      </w:r>
      <w:r w:rsidR="00BD4908" w:rsidRPr="00F8366B">
        <w:t xml:space="preserve"> produkt przedstawiany jest do stosowania jako organiczny złożony rozpuszczalnik do rozpuszczania farb, lakierów i mas uszczelniających. J</w:t>
      </w:r>
      <w:r w:rsidR="00397670" w:rsidRPr="00F8366B">
        <w:t>ak wynika z</w:t>
      </w:r>
      <w:r w:rsidR="00F8366B">
        <w:t> </w:t>
      </w:r>
      <w:r w:rsidR="005A48A4" w:rsidRPr="00F8366B">
        <w:t>uzasadnieni</w:t>
      </w:r>
      <w:r w:rsidR="00397670" w:rsidRPr="00F8366B">
        <w:t>a załącznika do</w:t>
      </w:r>
      <w:r w:rsidR="005A48A4" w:rsidRPr="00F8366B">
        <w:t xml:space="preserve"> rozporządzenia</w:t>
      </w:r>
      <w:r w:rsidR="00397670" w:rsidRPr="00F8366B">
        <w:t>,</w:t>
      </w:r>
      <w:r w:rsidR="005A48A4" w:rsidRPr="00F8366B">
        <w:t xml:space="preserve"> klasyfikacja do pozycji CN 2710 jest wykluczona </w:t>
      </w:r>
      <w:r w:rsidR="005A48A4" w:rsidRPr="00F8366B">
        <w:lastRenderedPageBreak/>
        <w:t>ponieważ organiczne złożone rozpuszczalniki i rozcieńczalniki są wymienione lub włączone gdzie indziej (zob.  Noty wyjaśniające do Nomenklatury Scalonej do podpozycji od 2710 12 11 do 2710 19 99, pkt II.3 lit. h). Pozycja CN 3814 obejmuje organiczne złożone rozpuszczalniki i</w:t>
      </w:r>
      <w:r w:rsidR="001F0B6E" w:rsidRPr="00F8366B">
        <w:t> </w:t>
      </w:r>
      <w:r w:rsidR="005A48A4" w:rsidRPr="00F8366B">
        <w:t>rozcieńczalniki zawierające więcej niż 70% masy olejów ropy naftowej (zob. również Nota wyjaśniająca do Systemu Zharmonizowanego do pozycji HS 3814, akapit pierwszy)</w:t>
      </w:r>
      <w:r w:rsidR="008E3ACA" w:rsidRPr="00F8366B">
        <w:t>.</w:t>
      </w:r>
    </w:p>
    <w:p w14:paraId="71C5E4D3" w14:textId="1E95F92E" w:rsidR="007D759C" w:rsidRPr="00F8366B" w:rsidRDefault="00DC2987" w:rsidP="00EC2739">
      <w:pPr>
        <w:spacing w:line="360" w:lineRule="auto"/>
        <w:jc w:val="both"/>
      </w:pPr>
      <w:r w:rsidRPr="00F8366B">
        <w:t xml:space="preserve">Ponadto </w:t>
      </w:r>
      <w:r w:rsidR="008E3ACA" w:rsidRPr="00F8366B">
        <w:t xml:space="preserve">wyroby objęte pozycją CN 3814 </w:t>
      </w:r>
      <w:r w:rsidR="0010373E" w:rsidRPr="00F8366B">
        <w:t xml:space="preserve">nie są objęte procedurą zawieszenia poboru akcyzy, ponieważ </w:t>
      </w:r>
      <w:r w:rsidR="00FA2F13" w:rsidRPr="00F8366B">
        <w:t xml:space="preserve">zgodnie z </w:t>
      </w:r>
      <w:r w:rsidR="008E3ACA" w:rsidRPr="00F8366B">
        <w:t xml:space="preserve"> ustaw</w:t>
      </w:r>
      <w:r w:rsidR="00FA2F13" w:rsidRPr="00F8366B">
        <w:t>ą</w:t>
      </w:r>
      <w:r w:rsidR="008E3ACA" w:rsidRPr="00F8366B">
        <w:t xml:space="preserve"> z</w:t>
      </w:r>
      <w:r w:rsidR="001F0B6E" w:rsidRPr="00F8366B">
        <w:t> </w:t>
      </w:r>
      <w:r w:rsidR="008E3ACA" w:rsidRPr="00F8366B">
        <w:t xml:space="preserve">dnia 6 grudnia 2008 r. </w:t>
      </w:r>
      <w:r w:rsidR="008E3ACA" w:rsidRPr="00F8366B">
        <w:rPr>
          <w:i/>
        </w:rPr>
        <w:t>o podatku akcyzowym</w:t>
      </w:r>
      <w:r w:rsidR="008E3ACA" w:rsidRPr="00F8366B">
        <w:t xml:space="preserve"> (Dz. U. z 2020 r. poz. 722, z </w:t>
      </w:r>
      <w:proofErr w:type="spellStart"/>
      <w:r w:rsidR="008E3ACA" w:rsidRPr="00F8366B">
        <w:t>późn</w:t>
      </w:r>
      <w:proofErr w:type="spellEnd"/>
      <w:r w:rsidR="008E3ACA" w:rsidRPr="00F8366B">
        <w:t xml:space="preserve">. zm. – art. 86 ust. 1 pkt 9), </w:t>
      </w:r>
      <w:r w:rsidR="00FA2F13" w:rsidRPr="00F8366B">
        <w:t xml:space="preserve">traktowane są jako wyroby energetyczne </w:t>
      </w:r>
      <w:r w:rsidR="008E3ACA" w:rsidRPr="00F8366B">
        <w:t>jedynie w</w:t>
      </w:r>
      <w:r w:rsidR="00F8366B">
        <w:t> </w:t>
      </w:r>
      <w:r w:rsidR="008E3ACA" w:rsidRPr="00F8366B">
        <w:t>przypadku ich przeznaczenia do użycia, oferowania na sprzedaż lub użycia jako paliwa silnikowe lub jako dodatki lub domieszki do paliw silnikowych. Tym samym, ich produkcja, przemieszczanie i zużycie, w przypadkach innych, niż określone w art. 86 ust. 1 pkt 9 ustawy, pozostaje poza zakresem przepisów o podatku akcyzowym.</w:t>
      </w:r>
      <w:r w:rsidR="007F437D" w:rsidRPr="00F8366B">
        <w:t xml:space="preserve"> </w:t>
      </w:r>
    </w:p>
    <w:p w14:paraId="453579EC" w14:textId="4C6CD613" w:rsidR="007F437D" w:rsidRPr="00F8366B" w:rsidRDefault="00D55BB0" w:rsidP="00EC2739">
      <w:pPr>
        <w:spacing w:line="360" w:lineRule="auto"/>
        <w:jc w:val="both"/>
      </w:pPr>
      <w:r w:rsidRPr="00F8366B">
        <w:t>Jednocześnie s</w:t>
      </w:r>
      <w:r w:rsidR="007F437D" w:rsidRPr="00F8366B">
        <w:t xml:space="preserve">tatus podatkowy wyrobu z poz. CN 3814 (kod CN 3814 00 90) jako wyrobu niepodlegającego akcyzie powoduje, że nie jest </w:t>
      </w:r>
      <w:r w:rsidRPr="00F8366B">
        <w:t>on</w:t>
      </w:r>
      <w:r w:rsidR="007F437D" w:rsidRPr="00F8366B">
        <w:t xml:space="preserve"> objęty Systemem Przemieszczania oraz Nadzoru Wyrobów Akcyzowych co nie pozwala na określenie na tej podstawie wolumenu obrotu wewnątrzwspólnotowego w tym obszarze.</w:t>
      </w:r>
    </w:p>
    <w:p w14:paraId="41F95C1F" w14:textId="57F31A3C" w:rsidR="008E3ACA" w:rsidRPr="00F8366B" w:rsidRDefault="00DC2987" w:rsidP="00EA6BF0">
      <w:pPr>
        <w:spacing w:line="360" w:lineRule="auto"/>
        <w:jc w:val="both"/>
      </w:pPr>
      <w:r w:rsidRPr="00F8366B">
        <w:t>Zgodnie z projektowanym § 2 ust. 6 s</w:t>
      </w:r>
      <w:r w:rsidR="00EA6BF0" w:rsidRPr="00F8366B">
        <w:t>ystemowi monitorowania drogowego i kolejowego przewozu towarów oraz obrotu paliwami opałowymi nie będzie podlegał przewóz towarów objętych pozycją CN 3814 zawierających 70% masy lub więcej olejów ropy naftowej innych, niż wymienione w art. 3 ust. 2 pkt 1 lit. h ustawy o SENT objętych procedurą celną tranzytu, składowania, odprawy czasowej, przetwarzania, wywozu albo powrotnym wywozem czy też przewożonych w opakowaniach jednostkowych, których objętość nie przekracza 11 litrów</w:t>
      </w:r>
      <w:r w:rsidR="0037254F" w:rsidRPr="00F8366B">
        <w:t>.</w:t>
      </w:r>
      <w:r w:rsidRPr="00F8366B">
        <w:t xml:space="preserve"> </w:t>
      </w:r>
    </w:p>
    <w:p w14:paraId="271507DE" w14:textId="77777777" w:rsidR="00985D21" w:rsidRDefault="00985D21" w:rsidP="0037254F">
      <w:pPr>
        <w:spacing w:line="360" w:lineRule="auto"/>
        <w:jc w:val="both"/>
      </w:pPr>
    </w:p>
    <w:p w14:paraId="6DFD7C66" w14:textId="2AB2B565" w:rsidR="0037254F" w:rsidRDefault="0037254F" w:rsidP="0037254F">
      <w:pPr>
        <w:spacing w:line="360" w:lineRule="auto"/>
        <w:jc w:val="both"/>
      </w:pPr>
      <w:r w:rsidRPr="00F8366B">
        <w:t>Poza objęciem systemem SENT ww. wyrobów klasyfikowanych do kodu 3814, projekt przewiduje także objęcie tym systemem towarów będących odpadem w rozumieniu ustawy z</w:t>
      </w:r>
      <w:r w:rsidR="00F8366B">
        <w:t> </w:t>
      </w:r>
      <w:r w:rsidRPr="00F8366B">
        <w:t xml:space="preserve">dnia 14 grudnia 2012 r. </w:t>
      </w:r>
      <w:r w:rsidRPr="00E4249E">
        <w:rPr>
          <w:i/>
        </w:rPr>
        <w:t>o odpadach</w:t>
      </w:r>
      <w:r w:rsidR="00E4249E">
        <w:t xml:space="preserve"> </w:t>
      </w:r>
      <w:r w:rsidR="00E4249E" w:rsidRPr="00E4249E">
        <w:t xml:space="preserve">(Dz. U. z 2021 r. poz. 779, </w:t>
      </w:r>
      <w:r w:rsidR="00E4249E">
        <w:t xml:space="preserve">z </w:t>
      </w:r>
      <w:proofErr w:type="spellStart"/>
      <w:r w:rsidR="00E4249E">
        <w:t>późn</w:t>
      </w:r>
      <w:proofErr w:type="spellEnd"/>
      <w:r w:rsidR="00E4249E">
        <w:t>. zm.)</w:t>
      </w:r>
      <w:r w:rsidRPr="00F8366B">
        <w:t>, których przemieszczanie podlega przepisom rozporządzenia (WE) nr 1013/2006 Parlamentu Europejskiego i Rady z dnia 14 czerwca 2006</w:t>
      </w:r>
      <w:r w:rsidR="00F8366B">
        <w:t> </w:t>
      </w:r>
      <w:r w:rsidRPr="00F8366B">
        <w:t xml:space="preserve">r. </w:t>
      </w:r>
      <w:r w:rsidRPr="00E4249E">
        <w:rPr>
          <w:i/>
        </w:rPr>
        <w:t>w sprawie przemieszczania odpadów</w:t>
      </w:r>
      <w:r w:rsidR="00E4249E">
        <w:t xml:space="preserve"> </w:t>
      </w:r>
      <w:r w:rsidR="00E4249E" w:rsidRPr="00E4249E">
        <w:t>(Dz. Urz. UE L 190/1)</w:t>
      </w:r>
      <w:r w:rsidR="005D5741">
        <w:t xml:space="preserve"> – dalej „rozporządzenie 1013/2006”</w:t>
      </w:r>
      <w:r w:rsidR="005D5741" w:rsidRPr="00F8366B">
        <w:t>.</w:t>
      </w:r>
      <w:r w:rsidR="005D5741">
        <w:t xml:space="preserve"> Monitorowane będą przewozy towarów innych niż wymienione dotychczas w ustawie, dokonywane z</w:t>
      </w:r>
      <w:r w:rsidR="005D5741" w:rsidRPr="001F39EC">
        <w:t xml:space="preserve"> terytorium </w:t>
      </w:r>
      <w:r w:rsidR="005D5741">
        <w:t xml:space="preserve">innych </w:t>
      </w:r>
      <w:r w:rsidR="005D5741" w:rsidRPr="001F39EC">
        <w:t>państw członkowski</w:t>
      </w:r>
      <w:r w:rsidR="005D5741">
        <w:t xml:space="preserve">ch </w:t>
      </w:r>
      <w:r w:rsidR="002961E6">
        <w:t xml:space="preserve">na terytorium kraju </w:t>
      </w:r>
      <w:r w:rsidR="005D5741">
        <w:t xml:space="preserve">oraz </w:t>
      </w:r>
      <w:r w:rsidR="005D5741" w:rsidRPr="001F39EC">
        <w:t>z terytorium jednego państwa członkowskiego na terytorium drugiego państwa członkowskiego</w:t>
      </w:r>
      <w:r w:rsidR="005D5741">
        <w:t xml:space="preserve"> przez terytorium kraju</w:t>
      </w:r>
      <w:r w:rsidRPr="00F8366B">
        <w:t>.</w:t>
      </w:r>
    </w:p>
    <w:p w14:paraId="14E8F1A6" w14:textId="77777777" w:rsidR="00023365" w:rsidRDefault="00023365" w:rsidP="0037254F">
      <w:pPr>
        <w:spacing w:line="360" w:lineRule="auto"/>
        <w:jc w:val="both"/>
      </w:pPr>
    </w:p>
    <w:p w14:paraId="478B19BD" w14:textId="77777777" w:rsidR="00023365" w:rsidRPr="00F8366B" w:rsidRDefault="00023365" w:rsidP="0037254F">
      <w:pPr>
        <w:spacing w:line="360" w:lineRule="auto"/>
        <w:jc w:val="both"/>
      </w:pPr>
    </w:p>
    <w:p w14:paraId="75CBCAB6" w14:textId="76E342D0" w:rsidR="0037254F" w:rsidRPr="00F8366B" w:rsidRDefault="00FA29A2" w:rsidP="0037254F">
      <w:pPr>
        <w:spacing w:line="360" w:lineRule="auto"/>
        <w:jc w:val="both"/>
      </w:pPr>
      <w:r w:rsidRPr="00F8366B">
        <w:lastRenderedPageBreak/>
        <w:t xml:space="preserve">Potrzeba objęcia odpadów systemem SENT wynika ze zidentyfikowanych sposobów dokonywania nadużyć w zakresie obrotu odpadami. </w:t>
      </w:r>
    </w:p>
    <w:p w14:paraId="262C9870" w14:textId="1BECE45C" w:rsidR="0037254F" w:rsidRPr="00F8366B" w:rsidRDefault="0037254F" w:rsidP="0037254F">
      <w:pPr>
        <w:spacing w:line="360" w:lineRule="auto"/>
        <w:jc w:val="both"/>
      </w:pPr>
      <w:r w:rsidRPr="00F8366B">
        <w:t xml:space="preserve">Zgodnie z art. 2 pkt 6 ustawy z 11 marca 2004 r. </w:t>
      </w:r>
      <w:r w:rsidRPr="00E4249E">
        <w:rPr>
          <w:i/>
        </w:rPr>
        <w:t>o podatku od towarów i usług</w:t>
      </w:r>
      <w:r w:rsidRPr="00F8366B">
        <w:t xml:space="preserve"> </w:t>
      </w:r>
      <w:r w:rsidR="00E4249E">
        <w:t xml:space="preserve">(Dz. U. z 2021 r. poz. 685, z </w:t>
      </w:r>
      <w:proofErr w:type="spellStart"/>
      <w:r w:rsidR="00E4249E">
        <w:t>późn</w:t>
      </w:r>
      <w:proofErr w:type="spellEnd"/>
      <w:r w:rsidR="00E4249E">
        <w:t xml:space="preserve">. zm.), </w:t>
      </w:r>
      <w:r w:rsidRPr="00F8366B">
        <w:t>towar</w:t>
      </w:r>
      <w:r w:rsidR="002355EE">
        <w:t>ami są</w:t>
      </w:r>
      <w:r w:rsidR="00F8366B">
        <w:t xml:space="preserve"> </w:t>
      </w:r>
      <w:r w:rsidRPr="00F8366B">
        <w:t xml:space="preserve"> rzecz</w:t>
      </w:r>
      <w:r w:rsidR="002355EE">
        <w:t>y</w:t>
      </w:r>
      <w:r w:rsidRPr="00F8366B">
        <w:t xml:space="preserve"> oraz </w:t>
      </w:r>
      <w:r w:rsidR="002355EE">
        <w:t>ich</w:t>
      </w:r>
      <w:r w:rsidRPr="00F8366B">
        <w:t xml:space="preserve"> częś</w:t>
      </w:r>
      <w:r w:rsidR="002355EE">
        <w:t>ci</w:t>
      </w:r>
      <w:r w:rsidRPr="00F8366B">
        <w:t>, a także wszelk</w:t>
      </w:r>
      <w:r w:rsidR="002355EE">
        <w:t>ie</w:t>
      </w:r>
      <w:r w:rsidRPr="00F8366B">
        <w:t xml:space="preserve"> posta</w:t>
      </w:r>
      <w:r w:rsidR="002355EE">
        <w:t>ci</w:t>
      </w:r>
      <w:r w:rsidRPr="00F8366B">
        <w:t xml:space="preserve"> energii. Oznacza to, że odpad w świetle ustawy o VAT będąc towarem stanowi przedmiot obrotu. W</w:t>
      </w:r>
      <w:r w:rsidR="00E4249E">
        <w:t> </w:t>
      </w:r>
      <w:r w:rsidRPr="00F8366B">
        <w:t>związku z powyższym wszelkie zdarzenia gospodarcze związane z obrotem odpadami (zbycie, nabycie i transport) podlega</w:t>
      </w:r>
      <w:r w:rsidR="002961E6">
        <w:t>ją</w:t>
      </w:r>
      <w:r w:rsidRPr="00F8366B">
        <w:t xml:space="preserve"> obowiązkowemu opodatkowaniu. Wyjątek stanowi przekazanie odpadów do  zagospodarowania przez ich wytwórcę, gdzie  nie zachodzi czynność opodatkowana VAT. Stawka opodatkowania podatkiem VAT wyliczana jest na podstawie klasyfikacji PKWiU i zazwyczaj określana jest na poziomie 8% wartości towarów lub towarzyszącej im usłudze. </w:t>
      </w:r>
    </w:p>
    <w:p w14:paraId="17E0BEF5" w14:textId="4E3A66E5" w:rsidR="0037254F" w:rsidRPr="00F8366B" w:rsidRDefault="0037254F" w:rsidP="0037254F">
      <w:pPr>
        <w:spacing w:line="360" w:lineRule="auto"/>
        <w:jc w:val="both"/>
      </w:pPr>
      <w:r w:rsidRPr="00F8366B">
        <w:t xml:space="preserve">Niedoszacowanie rynku gospodarowania odpadami, niedostateczna kontrola w tym zakresie oraz kwalifikacja niezgodnych z prawem działań w obrocie odpadami na poziomie znikomej szkodliwości społecznej przyczyniły się do rozwoju tzw. szarej strefy o przybliżonej wartości nawet 6 mld PLN w skali roku przy szacunkowej wartości rynku na poziomie 15,3 mld PLN (za 2019 rok wg Instytutu Jagiellońskiego) z szacowanym wzrostem wartości do nawet 21 mld PLN w 2024 roku. Sytuacja ta jest konsekwencją niewystarczającej kontroli w zakresie ewidencji w obrocie odpadami i sprawozdawczości z takiej działalności gospodarczej. Najczęściej obserwowanym jej symptomem jest zaniechanie przez podmioty gospodarujące odpadami podejmowania zgodnych z procedurami czynności zmierzających do optymalnego przetwarzania, odzyskiwania i ponownego wykorzystania odpadów, które </w:t>
      </w:r>
      <w:r w:rsidR="002355EE" w:rsidRPr="00F8366B">
        <w:t xml:space="preserve">są </w:t>
      </w:r>
      <w:r w:rsidRPr="00F8366B">
        <w:t xml:space="preserve">zastępowane przez ich długotrwałe magazynowanie i porzucenie odpadów bez przetworzenia do środowiska naturalnego, w tym </w:t>
      </w:r>
      <w:r w:rsidR="002355EE">
        <w:t xml:space="preserve">do </w:t>
      </w:r>
      <w:r w:rsidRPr="00F8366B">
        <w:t xml:space="preserve">miejsc na ten cel nieprzeznaczonych. </w:t>
      </w:r>
    </w:p>
    <w:p w14:paraId="240A6E4F" w14:textId="7E0785C8" w:rsidR="0037254F" w:rsidRPr="00F8366B" w:rsidRDefault="0037254F" w:rsidP="0037254F">
      <w:pPr>
        <w:spacing w:line="360" w:lineRule="auto"/>
        <w:jc w:val="both"/>
      </w:pPr>
      <w:r w:rsidRPr="00F8366B">
        <w:t xml:space="preserve">Istotnym problemem w gospodarowaniu odpadami jest wprowadzanie na </w:t>
      </w:r>
      <w:r w:rsidR="00E4249E">
        <w:t>p</w:t>
      </w:r>
      <w:r w:rsidRPr="00F8366B">
        <w:t>olski rynek gospodarczy odpadów pochodzących spoza terytorium kraju. Nielegalność związana z tego rodzaju działalnością ma charakter globalny i w wielu przypadkach organizowana jest przez zorganizowane grupy przestępcze o charakterze międzynarodowym, co w znacznym stopniu ułatwia niekontrolowany przepływ towarów przez granice państw członkowskich Unii Europejskiej. Biorąc pod uwagę, że transgraniczne przemieszczanie odpadów ma charakter wewnątrzwspólnotowej transakcji gospodarczej, ich wyprowadzenie poza ewidencje wpływa również na nieodprowadzenie należnego p</w:t>
      </w:r>
      <w:r w:rsidR="00E4249E">
        <w:t xml:space="preserve">odatku VAT od towarów i usług. </w:t>
      </w:r>
    </w:p>
    <w:p w14:paraId="3F36941B" w14:textId="318A3583" w:rsidR="0037254F" w:rsidRPr="00F8366B" w:rsidRDefault="0037254F" w:rsidP="0037254F">
      <w:pPr>
        <w:spacing w:line="360" w:lineRule="auto"/>
        <w:jc w:val="both"/>
      </w:pPr>
      <w:r w:rsidRPr="00F8366B">
        <w:t xml:space="preserve">Znamiennym dla rynku gospodarowania odpadami są także znaczne wpływy związane dla przedsiębiorcy z przyjęciem odpadów do zagospodarowania oraz współmierne koszty, które powinny zostać wydatkowane przez niego na ten cel. Przy braku właściwej kontroli ze strony Państwa powyższe stwarza przestrzeń do nadużyć podatkowych związanych m.in. z wzrostem </w:t>
      </w:r>
      <w:r w:rsidRPr="00F8366B">
        <w:lastRenderedPageBreak/>
        <w:t>zapotrzebowania na nielegalne usługi wykonywane za pośrednictwem „niewywiązujących się podmiotów gospodarczych” zarejestrowanych jako podatnik dla celów VAT jedynie z</w:t>
      </w:r>
      <w:r w:rsidR="00E4249E">
        <w:t> </w:t>
      </w:r>
      <w:r w:rsidRPr="00F8366B">
        <w:t xml:space="preserve"> zamiarem oszustwa</w:t>
      </w:r>
      <w:r w:rsidR="009C12A0">
        <w:t>,</w:t>
      </w:r>
      <w:r w:rsidRPr="00F8366B">
        <w:t xml:space="preserve"> </w:t>
      </w:r>
      <w:r w:rsidR="009C12A0">
        <w:t>p</w:t>
      </w:r>
      <w:r w:rsidRPr="00F8366B">
        <w:t>oprzez których fikcyjne transakcje nabycia towarów, usług lub symulacje ich nabywania wyprowadzane mogą być nielegalne zyski zakładów gospodarowania odpadami, wprowadzane następnie w tzw. procesie „karuzelowym” do legalnego obrotu gospodarczego lub też dla celów prywatnych przedsiębiorcy, przy jednoczesnym nie odprowadzaniu należnego podatku od towarów i usług VAT i znacznym zaniżeniu innych podatków. Podobna sytuacja dotyczyć może także zmiany kodu rodzaju obracanych towarów na „odpady”, których właściwy rodzaj ukryty może zostać przez nieuczciwego przedsiębiorcę</w:t>
      </w:r>
      <w:r w:rsidR="00E4249E">
        <w:t xml:space="preserve"> w celu zaniżenia podatku VAT. </w:t>
      </w:r>
    </w:p>
    <w:p w14:paraId="2BDCAD9F" w14:textId="1E339FA9" w:rsidR="0037254F" w:rsidRPr="00F8366B" w:rsidRDefault="0037254F" w:rsidP="0037254F">
      <w:pPr>
        <w:spacing w:line="360" w:lineRule="auto"/>
        <w:jc w:val="both"/>
      </w:pPr>
      <w:r w:rsidRPr="00F8366B">
        <w:t xml:space="preserve">Z uwagi na przedstawioną sytuację wartość szkody poniesionej przez Skarb Państwa z tytułu niedostatecznej kontroli nad rynkiem gospodarowania odpadami oraz nadużyciami mechanizmów podatku VAT i innych podatków jest ogromna, lecz trudna do oszacowania. Należy tu wskazać, że </w:t>
      </w:r>
      <w:r w:rsidR="009C12A0">
        <w:t>w okresie</w:t>
      </w:r>
      <w:r w:rsidRPr="00F8366B">
        <w:t xml:space="preserve"> od stycznia 2018 r. do października 2021 r. </w:t>
      </w:r>
      <w:r w:rsidR="006D59F1" w:rsidRPr="00F8366B">
        <w:t xml:space="preserve">Krajowa Administracja Skarbowa, </w:t>
      </w:r>
      <w:r w:rsidRPr="00F8366B">
        <w:t>Inspekcja Ochrony Środowiska, Straż Graniczna oraz Inspekcja Transportu Drogowego ujawniły około 400 przypadków nielegalnego przywozu do RP odpadów (z</w:t>
      </w:r>
      <w:r w:rsidR="00E4249E">
        <w:t> </w:t>
      </w:r>
      <w:r w:rsidRPr="00F8366B">
        <w:t>wyłączeniem odpadów pojazdów) z krajów trzecich o łącznej masie ok. 140 tyś Mg. Biorąc pod uwagę uśredniony koszt zagospodarowania odpadów (ok. 800 PLN), straty Skarbu Państwa szacunkowo wyniosły nie mniej niż ok. 9 000 000 PLN z tytułu nieodprowadzonego podatku VAT nie licząc uszczerbku z tytułu innych podatków. Przy czym zaznaczyć należy, że z całą pewnością ilość odpadów przemieszczanych nielegalnie jest znacznie większa niż ujawniona.</w:t>
      </w:r>
    </w:p>
    <w:p w14:paraId="61F52738" w14:textId="4BFD701F" w:rsidR="0037254F" w:rsidRPr="00F8366B" w:rsidRDefault="0037254F" w:rsidP="0037254F">
      <w:pPr>
        <w:spacing w:line="360" w:lineRule="auto"/>
        <w:jc w:val="both"/>
      </w:pPr>
      <w:r w:rsidRPr="00F8366B">
        <w:t>Zważywszy na charakter nadużyć podatkowych nie można wykluczyć, że poprzez wprowadzenie do obrotu znacznych ilości nielegalnego kapitału naruszone zostają także zasady funkcjonowania rynku gospodarczego, w tym uczciwej konkurencji oraz przejrzystość alokacji kapitału.</w:t>
      </w:r>
    </w:p>
    <w:p w14:paraId="76ED5502" w14:textId="77777777" w:rsidR="006D59F1" w:rsidRPr="00F8366B" w:rsidRDefault="006D59F1" w:rsidP="006D59F1">
      <w:pPr>
        <w:spacing w:line="360" w:lineRule="auto"/>
        <w:jc w:val="both"/>
      </w:pPr>
      <w:r w:rsidRPr="00F8366B">
        <w:t xml:space="preserve">Konsekwencją </w:t>
      </w:r>
      <w:r>
        <w:t>projektowanych</w:t>
      </w:r>
      <w:r w:rsidRPr="00F8366B">
        <w:t xml:space="preserve"> przepisów w tym zakresie będzie nałożenie odpowiednio na podmiot odbierający oraz przewoźnika w momencie rozpoczęcia przewozu towaru, o którym mowa w art. 2 pkt 9. ustawy o SENT, obowiązków w zakresie dokonania zgłoszenia przewozu, jego uzupełnienia i aktualizacji. Dodatkowo przewoźnik zostanie zobowiązany do zapewnienia przekazywania danych </w:t>
      </w:r>
      <w:proofErr w:type="spellStart"/>
      <w:r w:rsidRPr="00F8366B">
        <w:t>geolokalizacyjnych</w:t>
      </w:r>
      <w:proofErr w:type="spellEnd"/>
      <w:r w:rsidRPr="00F8366B">
        <w:t>, a kierujący do posiadania numeru referencyjnego oraz uruchomienia lokalizatora.</w:t>
      </w:r>
    </w:p>
    <w:p w14:paraId="4D6D037D" w14:textId="77777777" w:rsidR="00FA29A2" w:rsidRPr="00F8366B" w:rsidRDefault="00FA29A2" w:rsidP="0037254F">
      <w:pPr>
        <w:spacing w:line="360" w:lineRule="auto"/>
        <w:jc w:val="both"/>
      </w:pPr>
    </w:p>
    <w:p w14:paraId="4FF52D80" w14:textId="245181DF" w:rsidR="009E522E" w:rsidRPr="00F8366B" w:rsidRDefault="009E522E" w:rsidP="002839E0">
      <w:pPr>
        <w:spacing w:line="360" w:lineRule="auto"/>
        <w:jc w:val="both"/>
      </w:pPr>
      <w:r w:rsidRPr="00F8366B">
        <w:t>Projekt</w:t>
      </w:r>
      <w:r w:rsidR="000D422F" w:rsidRPr="00F8366B">
        <w:t xml:space="preserve"> </w:t>
      </w:r>
      <w:r w:rsidRPr="0059350C">
        <w:t>wpł</w:t>
      </w:r>
      <w:r w:rsidR="000F605E" w:rsidRPr="0059350C">
        <w:t>ywa</w:t>
      </w:r>
      <w:r w:rsidR="000F605E" w:rsidRPr="00F8366B">
        <w:t xml:space="preserve"> na działalność mikro przedsiębiorców</w:t>
      </w:r>
      <w:r w:rsidRPr="00F8366B">
        <w:t xml:space="preserve">, małych i średnich przedsiębiorców </w:t>
      </w:r>
      <w:r w:rsidR="006D59F1">
        <w:t>jedynie w zakresie odpadów</w:t>
      </w:r>
      <w:r w:rsidR="006D59F1" w:rsidRPr="00F8366B">
        <w:t xml:space="preserve">. </w:t>
      </w:r>
      <w:r w:rsidR="006D59F1">
        <w:t>W</w:t>
      </w:r>
      <w:r w:rsidR="006D59F1" w:rsidRPr="00F8366B">
        <w:t xml:space="preserve"> </w:t>
      </w:r>
      <w:r w:rsidR="006D59F1">
        <w:t xml:space="preserve">odniesieniu do </w:t>
      </w:r>
      <w:r w:rsidR="006D59F1" w:rsidRPr="00F8366B">
        <w:t>wyrobów o kodzie CN 3814</w:t>
      </w:r>
      <w:r w:rsidR="006D59F1">
        <w:t>,</w:t>
      </w:r>
      <w:r w:rsidR="006D59F1" w:rsidRPr="00F8366B">
        <w:t xml:space="preserve"> obowiązki dla </w:t>
      </w:r>
      <w:r w:rsidR="006D59F1" w:rsidRPr="00F8366B">
        <w:lastRenderedPageBreak/>
        <w:t xml:space="preserve">podmiotów dystrybuujących te towary </w:t>
      </w:r>
      <w:r w:rsidR="006D59F1" w:rsidRPr="006370D8">
        <w:rPr>
          <w:i/>
        </w:rPr>
        <w:t>de facto</w:t>
      </w:r>
      <w:r w:rsidR="006D59F1" w:rsidRPr="006370D8">
        <w:t xml:space="preserve"> nie ulegną zmianie.</w:t>
      </w:r>
      <w:r w:rsidR="006D59F1">
        <w:t xml:space="preserve"> </w:t>
      </w:r>
      <w:r w:rsidR="000D422F" w:rsidRPr="00F8366B">
        <w:t xml:space="preserve">Wyroby </w:t>
      </w:r>
      <w:r w:rsidR="007F6B2F" w:rsidRPr="00F8366B">
        <w:t xml:space="preserve">zawierające 70% masy lub więcej olejów ropy naftowej </w:t>
      </w:r>
      <w:r w:rsidR="000D422F" w:rsidRPr="00F8366B">
        <w:t>były klasyfikowane dotychczas do kodu CN 2710</w:t>
      </w:r>
      <w:r w:rsidR="006D59F1">
        <w:t xml:space="preserve"> i</w:t>
      </w:r>
      <w:r w:rsidR="00200694">
        <w:t> </w:t>
      </w:r>
      <w:r w:rsidR="000D422F" w:rsidRPr="00F8366B">
        <w:t>podlega</w:t>
      </w:r>
      <w:r w:rsidR="006D59F1">
        <w:t>ły</w:t>
      </w:r>
      <w:r w:rsidR="000D422F" w:rsidRPr="00F8366B">
        <w:t xml:space="preserve"> obowiązkowi zgłoszenia do rejestru SENT. </w:t>
      </w:r>
      <w:r w:rsidR="002839E0" w:rsidRPr="00F8366B">
        <w:t>Od momentu opublikowania rozporządzenia Komisji (WE) nr 725/2020 z 26 maja 2020 r. (Dz. Urz. UE L 170 z 2 czerwca 2020 r.), przedmiotow</w:t>
      </w:r>
      <w:r w:rsidR="00EF485C" w:rsidRPr="00F8366B">
        <w:t>e</w:t>
      </w:r>
      <w:r w:rsidR="002839E0" w:rsidRPr="00F8366B">
        <w:t xml:space="preserve"> towar</w:t>
      </w:r>
      <w:r w:rsidR="00EF485C" w:rsidRPr="00F8366B">
        <w:t>y</w:t>
      </w:r>
      <w:r w:rsidR="002839E0" w:rsidRPr="00F8366B">
        <w:t xml:space="preserve"> </w:t>
      </w:r>
      <w:r w:rsidR="00EF485C" w:rsidRPr="00F8366B">
        <w:t>należy klasyfikować  do pozycji CN 3814 00 90 jako pozostały organiczny złożony rozpuszczalnik</w:t>
      </w:r>
      <w:r w:rsidR="002839E0" w:rsidRPr="00F8366B">
        <w:t>.</w:t>
      </w:r>
      <w:r w:rsidR="000D422F" w:rsidRPr="00F8366B">
        <w:t xml:space="preserve"> Zatem po w</w:t>
      </w:r>
      <w:r w:rsidR="000F73B0">
        <w:t>ejściu w życie</w:t>
      </w:r>
      <w:r w:rsidR="000D422F" w:rsidRPr="00F8366B">
        <w:t xml:space="preserve"> </w:t>
      </w:r>
      <w:r w:rsidR="006D59F1">
        <w:t xml:space="preserve"> projektowanego rozporządzenia będą one ponownie podlegały zgłoszeniu. </w:t>
      </w:r>
    </w:p>
    <w:p w14:paraId="576D1EC1" w14:textId="179A76ED" w:rsidR="007F6B2F" w:rsidRPr="00F8366B" w:rsidRDefault="007F6B2F" w:rsidP="002839E0">
      <w:pPr>
        <w:spacing w:line="360" w:lineRule="auto"/>
        <w:jc w:val="both"/>
      </w:pPr>
      <w:r w:rsidRPr="00F8366B">
        <w:t xml:space="preserve">W odniesieniu do odpadów, objęcie systemem SENT przewozu tych </w:t>
      </w:r>
      <w:r w:rsidR="00CA6D5C">
        <w:t xml:space="preserve">towarów </w:t>
      </w:r>
      <w:r w:rsidRPr="00F8366B">
        <w:t xml:space="preserve">będzie wiązało się z dodatkowymi obciążeniami dla podmiotów gospodarczych </w:t>
      </w:r>
      <w:r w:rsidR="00665BFD" w:rsidRPr="00F8366B">
        <w:t xml:space="preserve">dostarczających towary do kraju, przewożących towary w tzw. tranzycie przez terytorium Polski </w:t>
      </w:r>
      <w:r w:rsidRPr="00F8366B">
        <w:t>przewoźników</w:t>
      </w:r>
      <w:r w:rsidR="00A24507">
        <w:t>,</w:t>
      </w:r>
      <w:r w:rsidRPr="00F8366B">
        <w:t xml:space="preserve"> </w:t>
      </w:r>
      <w:r w:rsidR="000F73B0">
        <w:t xml:space="preserve">jak </w:t>
      </w:r>
      <w:r w:rsidRPr="00F8366B">
        <w:t xml:space="preserve">i </w:t>
      </w:r>
      <w:r w:rsidR="000F73B0">
        <w:t xml:space="preserve">dla </w:t>
      </w:r>
      <w:r w:rsidRPr="00F8366B">
        <w:t>podmiot</w:t>
      </w:r>
      <w:r w:rsidR="000F73B0">
        <w:t>ów</w:t>
      </w:r>
      <w:r w:rsidRPr="00F8366B">
        <w:t xml:space="preserve"> odbierając</w:t>
      </w:r>
      <w:r w:rsidR="000F73B0">
        <w:t>ych</w:t>
      </w:r>
      <w:r w:rsidRPr="00F8366B">
        <w:t xml:space="preserve"> w postaci konieczności zgłoszenia</w:t>
      </w:r>
      <w:r w:rsidR="00665BFD" w:rsidRPr="00F8366B">
        <w:t xml:space="preserve"> przewozu do rejestru SENT </w:t>
      </w:r>
      <w:r w:rsidRPr="00F8366B">
        <w:t>i</w:t>
      </w:r>
      <w:r w:rsidR="00200694">
        <w:t> </w:t>
      </w:r>
      <w:r w:rsidRPr="00F8366B">
        <w:t>aktualizacji danych zawartych w zgłoszeniu</w:t>
      </w:r>
      <w:r w:rsidR="00A24507">
        <w:t>. Będzie się również wiązało</w:t>
      </w:r>
      <w:r w:rsidR="000F73B0">
        <w:t xml:space="preserve"> </w:t>
      </w:r>
      <w:r w:rsidR="00A24507">
        <w:t xml:space="preserve">z dodatkowymi </w:t>
      </w:r>
      <w:r w:rsidR="000F73B0">
        <w:t xml:space="preserve">obowiązkami </w:t>
      </w:r>
      <w:r w:rsidR="00665BFD" w:rsidRPr="00F8366B">
        <w:t xml:space="preserve"> związan</w:t>
      </w:r>
      <w:r w:rsidR="000F73B0">
        <w:t>ymi</w:t>
      </w:r>
      <w:r w:rsidR="00665BFD" w:rsidRPr="00F8366B">
        <w:t xml:space="preserve"> z raportowaniem oraz uruchamianiem urządzenia służącego do transmisji danych </w:t>
      </w:r>
      <w:proofErr w:type="spellStart"/>
      <w:r w:rsidR="00665BFD" w:rsidRPr="00F8366B">
        <w:t>geolokalizacyjnych</w:t>
      </w:r>
      <w:proofErr w:type="spellEnd"/>
      <w:r w:rsidR="00665BFD" w:rsidRPr="00F8366B">
        <w:t xml:space="preserve"> i zapewnieniem przekazywania danych w tym zakresie w trakcie całej podróży na terenie kraju. </w:t>
      </w:r>
      <w:r w:rsidR="006D59F1">
        <w:t xml:space="preserve">Należy jednak podkreślić, że wdrażana nowelizacja nie wymaga istotnych procesów dostosowawczych. Przewidziane w projekcie </w:t>
      </w:r>
      <w:r w:rsidR="006D59F1" w:rsidRPr="006370D8">
        <w:rPr>
          <w:i/>
        </w:rPr>
        <w:t>vacatio legis</w:t>
      </w:r>
      <w:r w:rsidR="006D59F1">
        <w:rPr>
          <w:i/>
        </w:rPr>
        <w:t xml:space="preserve"> </w:t>
      </w:r>
      <w:r w:rsidR="006D59F1" w:rsidRPr="002A1AA6">
        <w:t xml:space="preserve">wydaje się więc </w:t>
      </w:r>
      <w:r w:rsidR="006D59F1">
        <w:t xml:space="preserve">odpowiednie z punktu widzenia nakładanych obowiązków. </w:t>
      </w:r>
      <w:r w:rsidR="00730732" w:rsidRPr="00F8366B">
        <w:t>W przypadku, gdy</w:t>
      </w:r>
      <w:r w:rsidR="00665BFD" w:rsidRPr="00F8366B">
        <w:t xml:space="preserve"> w wyniku swojego celowego działania lub zaniechania lub niedbalstwa </w:t>
      </w:r>
      <w:r w:rsidR="00730732" w:rsidRPr="00F8366B">
        <w:t xml:space="preserve">podmioty zobowiązane nie wypełnią swoich obowiązków </w:t>
      </w:r>
      <w:r w:rsidR="00665BFD" w:rsidRPr="00F8366B">
        <w:t xml:space="preserve">będą </w:t>
      </w:r>
      <w:r w:rsidR="00730732" w:rsidRPr="00F8366B">
        <w:t xml:space="preserve">one </w:t>
      </w:r>
      <w:r w:rsidR="00665BFD" w:rsidRPr="00F8366B">
        <w:t>zobowiązane do uiszczenia kary pieniężnej</w:t>
      </w:r>
      <w:r w:rsidR="00730732" w:rsidRPr="00F8366B">
        <w:t>, o której mowa w</w:t>
      </w:r>
      <w:r w:rsidR="000B2B12">
        <w:t> </w:t>
      </w:r>
      <w:r w:rsidR="00730732" w:rsidRPr="00F8366B">
        <w:t>ustawie o SENT</w:t>
      </w:r>
      <w:r w:rsidR="007466A2">
        <w:t>,</w:t>
      </w:r>
      <w:r w:rsidR="00665BFD" w:rsidRPr="00F8366B">
        <w:t xml:space="preserve"> której wymiar będzie miał także charakter dyscyplinujący i</w:t>
      </w:r>
      <w:r w:rsidR="00200694">
        <w:t> </w:t>
      </w:r>
      <w:r w:rsidR="00665BFD" w:rsidRPr="00F8366B">
        <w:t>prewencyjny.</w:t>
      </w:r>
    </w:p>
    <w:p w14:paraId="321ECBD5" w14:textId="01FA8C2F" w:rsidR="001A3461" w:rsidRDefault="001A3461" w:rsidP="001A3461">
      <w:pPr>
        <w:spacing w:line="360" w:lineRule="auto"/>
        <w:jc w:val="both"/>
        <w:rPr>
          <w:bCs/>
        </w:rPr>
      </w:pPr>
      <w:r>
        <w:rPr>
          <w:bCs/>
        </w:rPr>
        <w:t>W paragrafie drugim projektowanej regulacji zawart</w:t>
      </w:r>
      <w:r w:rsidR="00287479">
        <w:rPr>
          <w:bCs/>
        </w:rPr>
        <w:t>y</w:t>
      </w:r>
      <w:r>
        <w:rPr>
          <w:bCs/>
        </w:rPr>
        <w:t xml:space="preserve"> został przepis przejściow</w:t>
      </w:r>
      <w:r w:rsidR="00287479">
        <w:rPr>
          <w:bCs/>
        </w:rPr>
        <w:t>y. Ma</w:t>
      </w:r>
      <w:r>
        <w:rPr>
          <w:bCs/>
        </w:rPr>
        <w:t xml:space="preserve"> on na celu rozwianie wątpliwości podmiotów realizujących przewóz odpadów w dniu zmiany obowiązujących przepisów, tzn. przewozów rozpoczętych przed dniem wejścia w życie projektowanego rozporządzenia, których zakończenie przewidziane jest po jego wejściu w życie. W odniesieniu do tych przewozów będą miały zastosowanie przepisy dotychczasowe.</w:t>
      </w:r>
    </w:p>
    <w:p w14:paraId="554DB65F" w14:textId="77777777" w:rsidR="00CA6D5C" w:rsidRDefault="00CA6D5C" w:rsidP="00EC2739">
      <w:pPr>
        <w:spacing w:line="360" w:lineRule="auto"/>
        <w:jc w:val="both"/>
        <w:rPr>
          <w:bCs/>
        </w:rPr>
      </w:pPr>
    </w:p>
    <w:p w14:paraId="0BDF696F" w14:textId="08ACCF23" w:rsidR="009E522E" w:rsidRPr="00F8366B" w:rsidRDefault="009E522E" w:rsidP="00EC2739">
      <w:pPr>
        <w:spacing w:line="360" w:lineRule="auto"/>
        <w:jc w:val="both"/>
        <w:rPr>
          <w:bCs/>
        </w:rPr>
      </w:pPr>
      <w:r w:rsidRPr="00F8366B">
        <w:rPr>
          <w:bCs/>
        </w:rPr>
        <w:t>Projekt nie wpływa na sytuację ekonomiczną i społeczną rodziny, a także osób niepełnosprawnych oraz osób starszych.</w:t>
      </w:r>
      <w:r w:rsidR="00690259" w:rsidRPr="00F8366B">
        <w:rPr>
          <w:bCs/>
        </w:rPr>
        <w:t xml:space="preserve"> </w:t>
      </w:r>
    </w:p>
    <w:p w14:paraId="215A3FAB" w14:textId="77777777" w:rsidR="00CA6D5C" w:rsidRDefault="00CA6D5C" w:rsidP="00EC2739">
      <w:pPr>
        <w:pStyle w:val="Tytu"/>
        <w:tabs>
          <w:tab w:val="left" w:pos="3780"/>
        </w:tabs>
        <w:spacing w:before="0" w:line="360" w:lineRule="auto"/>
        <w:jc w:val="both"/>
        <w:rPr>
          <w:b w:val="0"/>
          <w:bCs/>
          <w:sz w:val="24"/>
        </w:rPr>
      </w:pPr>
    </w:p>
    <w:p w14:paraId="14DC8A50" w14:textId="77777777" w:rsidR="00223E2D" w:rsidRPr="00F8366B" w:rsidRDefault="00223E2D" w:rsidP="00EC2739">
      <w:pPr>
        <w:pStyle w:val="Tytu"/>
        <w:tabs>
          <w:tab w:val="left" w:pos="3780"/>
        </w:tabs>
        <w:spacing w:before="0" w:line="360" w:lineRule="auto"/>
        <w:jc w:val="both"/>
        <w:rPr>
          <w:b w:val="0"/>
          <w:bCs/>
          <w:sz w:val="24"/>
        </w:rPr>
      </w:pPr>
      <w:r w:rsidRPr="00F8366B">
        <w:rPr>
          <w:b w:val="0"/>
          <w:bCs/>
          <w:sz w:val="24"/>
        </w:rPr>
        <w:t xml:space="preserve">Niniejsze rozporządzenie nie zawiera przepisów technicznych, w związku z czym nie podlega procedurze notyfikacji </w:t>
      </w:r>
      <w:r w:rsidR="007F0378" w:rsidRPr="00F8366B">
        <w:rPr>
          <w:b w:val="0"/>
          <w:bCs/>
          <w:sz w:val="24"/>
        </w:rPr>
        <w:t>zgodnie z</w:t>
      </w:r>
      <w:r w:rsidRPr="00F8366B">
        <w:rPr>
          <w:b w:val="0"/>
          <w:bCs/>
          <w:sz w:val="24"/>
        </w:rPr>
        <w:t xml:space="preserve"> rozporządzeni</w:t>
      </w:r>
      <w:r w:rsidR="007F0378" w:rsidRPr="00F8366B">
        <w:rPr>
          <w:b w:val="0"/>
          <w:bCs/>
          <w:sz w:val="24"/>
        </w:rPr>
        <w:t>em</w:t>
      </w:r>
      <w:r w:rsidRPr="00F8366B">
        <w:rPr>
          <w:b w:val="0"/>
          <w:bCs/>
          <w:sz w:val="24"/>
        </w:rPr>
        <w:t xml:space="preserve"> Rady Ministrów z dnia 23 grudnia 2002 r. w sprawie sposobu funkcjonowania krajowego systemu notyfikacji norm</w:t>
      </w:r>
      <w:r w:rsidR="003845DE" w:rsidRPr="00F8366B">
        <w:rPr>
          <w:b w:val="0"/>
          <w:bCs/>
          <w:sz w:val="24"/>
        </w:rPr>
        <w:t xml:space="preserve"> </w:t>
      </w:r>
      <w:r w:rsidRPr="00F8366B">
        <w:rPr>
          <w:b w:val="0"/>
          <w:bCs/>
          <w:sz w:val="24"/>
        </w:rPr>
        <w:t>i</w:t>
      </w:r>
      <w:r w:rsidR="003845DE" w:rsidRPr="00F8366B">
        <w:rPr>
          <w:b w:val="0"/>
          <w:bCs/>
          <w:sz w:val="24"/>
        </w:rPr>
        <w:t> </w:t>
      </w:r>
      <w:r w:rsidRPr="00F8366B">
        <w:rPr>
          <w:b w:val="0"/>
          <w:bCs/>
          <w:sz w:val="24"/>
        </w:rPr>
        <w:t xml:space="preserve">aktów </w:t>
      </w:r>
      <w:r w:rsidR="000F605E" w:rsidRPr="00F8366B">
        <w:rPr>
          <w:b w:val="0"/>
          <w:bCs/>
          <w:sz w:val="24"/>
        </w:rPr>
        <w:t>prawnych (Dz. U. poz. 2039, z </w:t>
      </w:r>
      <w:proofErr w:type="spellStart"/>
      <w:r w:rsidRPr="00F8366B">
        <w:rPr>
          <w:b w:val="0"/>
          <w:bCs/>
          <w:sz w:val="24"/>
        </w:rPr>
        <w:t>późn</w:t>
      </w:r>
      <w:proofErr w:type="spellEnd"/>
      <w:r w:rsidRPr="00F8366B">
        <w:rPr>
          <w:b w:val="0"/>
          <w:bCs/>
          <w:sz w:val="24"/>
        </w:rPr>
        <w:t>. zm.).</w:t>
      </w:r>
    </w:p>
    <w:p w14:paraId="6BB2E15F" w14:textId="1FC5873D" w:rsidR="00223E2D" w:rsidRPr="00F8366B" w:rsidRDefault="00223E2D" w:rsidP="00EC2739">
      <w:pPr>
        <w:pStyle w:val="Tytu"/>
        <w:tabs>
          <w:tab w:val="left" w:pos="3780"/>
        </w:tabs>
        <w:spacing w:before="0" w:line="360" w:lineRule="auto"/>
        <w:jc w:val="both"/>
        <w:rPr>
          <w:b w:val="0"/>
          <w:bCs/>
          <w:sz w:val="24"/>
        </w:rPr>
      </w:pPr>
      <w:r w:rsidRPr="00F8366B">
        <w:rPr>
          <w:b w:val="0"/>
          <w:bCs/>
          <w:sz w:val="24"/>
        </w:rPr>
        <w:lastRenderedPageBreak/>
        <w:t xml:space="preserve">Materia regulowana przedmiotowym rozporządzeniem </w:t>
      </w:r>
      <w:r w:rsidR="00CD78E2" w:rsidRPr="00F8366B">
        <w:rPr>
          <w:b w:val="0"/>
          <w:bCs/>
          <w:sz w:val="24"/>
        </w:rPr>
        <w:t xml:space="preserve">nie wymaga przedstawiania jej organom i instytucjom Unii Europejskiej w celu uzyskania opinii, dokonania powiadomienia, konsultacji albo uzgodnienia </w:t>
      </w:r>
    </w:p>
    <w:p w14:paraId="7C17A393" w14:textId="67035430" w:rsidR="003C48EB" w:rsidRPr="00F8366B" w:rsidRDefault="00223E2D" w:rsidP="00EC2739">
      <w:pPr>
        <w:pStyle w:val="Tytu"/>
        <w:tabs>
          <w:tab w:val="left" w:pos="3780"/>
        </w:tabs>
        <w:spacing w:before="0" w:line="360" w:lineRule="auto"/>
        <w:jc w:val="both"/>
        <w:rPr>
          <w:b w:val="0"/>
          <w:bCs/>
          <w:sz w:val="24"/>
        </w:rPr>
      </w:pPr>
      <w:r w:rsidRPr="00F8366B">
        <w:rPr>
          <w:b w:val="0"/>
          <w:bCs/>
          <w:sz w:val="24"/>
        </w:rPr>
        <w:t xml:space="preserve">Zgodnie z art. 5 ustawy z dnia 7 lipca 2005 r. o działalności lobbingowej w procesie stanowienia prawa (Dz. U. </w:t>
      </w:r>
      <w:r w:rsidR="00002257" w:rsidRPr="00F8366B">
        <w:rPr>
          <w:b w:val="0"/>
          <w:bCs/>
          <w:sz w:val="24"/>
        </w:rPr>
        <w:t>z 2017 r. poz. 248</w:t>
      </w:r>
      <w:r w:rsidRPr="00F8366B">
        <w:rPr>
          <w:b w:val="0"/>
          <w:bCs/>
          <w:sz w:val="24"/>
        </w:rPr>
        <w:t>) oraz § 52 ust. 1 uchwały nr 190 Rady Ministrów z dnia 29</w:t>
      </w:r>
      <w:r w:rsidR="00E40788" w:rsidRPr="00F8366B">
        <w:rPr>
          <w:b w:val="0"/>
          <w:bCs/>
          <w:sz w:val="24"/>
        </w:rPr>
        <w:t> </w:t>
      </w:r>
      <w:r w:rsidRPr="00F8366B">
        <w:rPr>
          <w:b w:val="0"/>
          <w:bCs/>
          <w:sz w:val="24"/>
        </w:rPr>
        <w:t>października 2013 r. – Regul</w:t>
      </w:r>
      <w:r w:rsidR="00015B1E" w:rsidRPr="00F8366B">
        <w:rPr>
          <w:b w:val="0"/>
          <w:bCs/>
          <w:sz w:val="24"/>
        </w:rPr>
        <w:t>amin pracy Rady Ministrów (</w:t>
      </w:r>
      <w:r w:rsidR="007F47A0" w:rsidRPr="00F8366B">
        <w:rPr>
          <w:b w:val="0"/>
          <w:bCs/>
          <w:sz w:val="24"/>
        </w:rPr>
        <w:t>M.P. z </w:t>
      </w:r>
      <w:r w:rsidR="00BE0402" w:rsidRPr="00F8366B">
        <w:rPr>
          <w:b w:val="0"/>
          <w:bCs/>
          <w:sz w:val="24"/>
        </w:rPr>
        <w:t>2016 r.</w:t>
      </w:r>
      <w:r w:rsidR="00A96915" w:rsidRPr="00F8366B">
        <w:rPr>
          <w:b w:val="0"/>
          <w:bCs/>
          <w:sz w:val="24"/>
        </w:rPr>
        <w:t xml:space="preserve"> </w:t>
      </w:r>
      <w:r w:rsidR="00BE0402" w:rsidRPr="00F8366B">
        <w:rPr>
          <w:b w:val="0"/>
          <w:bCs/>
          <w:sz w:val="24"/>
        </w:rPr>
        <w:t>poz. 1006</w:t>
      </w:r>
      <w:r w:rsidR="00536601" w:rsidRPr="00F8366B">
        <w:rPr>
          <w:b w:val="0"/>
          <w:bCs/>
          <w:sz w:val="24"/>
        </w:rPr>
        <w:t xml:space="preserve">, z </w:t>
      </w:r>
      <w:proofErr w:type="spellStart"/>
      <w:r w:rsidR="00536601" w:rsidRPr="00F8366B">
        <w:rPr>
          <w:b w:val="0"/>
          <w:bCs/>
          <w:sz w:val="24"/>
        </w:rPr>
        <w:t>późn</w:t>
      </w:r>
      <w:proofErr w:type="spellEnd"/>
      <w:r w:rsidR="00536601" w:rsidRPr="00F8366B">
        <w:rPr>
          <w:b w:val="0"/>
          <w:bCs/>
          <w:sz w:val="24"/>
        </w:rPr>
        <w:t>. zm.</w:t>
      </w:r>
      <w:r w:rsidRPr="00F8366B">
        <w:rPr>
          <w:b w:val="0"/>
          <w:bCs/>
          <w:sz w:val="24"/>
        </w:rPr>
        <w:t>), projekt rozporządzenia zosta</w:t>
      </w:r>
      <w:r w:rsidR="00154463" w:rsidRPr="00F8366B">
        <w:rPr>
          <w:b w:val="0"/>
          <w:bCs/>
          <w:sz w:val="24"/>
        </w:rPr>
        <w:t>nie</w:t>
      </w:r>
      <w:r w:rsidR="008C5F10" w:rsidRPr="00F8366B">
        <w:rPr>
          <w:b w:val="0"/>
          <w:bCs/>
          <w:sz w:val="24"/>
        </w:rPr>
        <w:t xml:space="preserve"> </w:t>
      </w:r>
      <w:r w:rsidRPr="00F8366B">
        <w:rPr>
          <w:b w:val="0"/>
          <w:bCs/>
          <w:sz w:val="24"/>
        </w:rPr>
        <w:t xml:space="preserve">udostępniony </w:t>
      </w:r>
      <w:r w:rsidR="006F0CA7" w:rsidRPr="00F8366B">
        <w:rPr>
          <w:b w:val="0"/>
          <w:bCs/>
          <w:sz w:val="24"/>
        </w:rPr>
        <w:t xml:space="preserve">z chwilą przekazania do uzgodnień międzyresortowych </w:t>
      </w:r>
      <w:r w:rsidRPr="00F8366B">
        <w:rPr>
          <w:b w:val="0"/>
          <w:bCs/>
          <w:sz w:val="24"/>
        </w:rPr>
        <w:t>w Biuletynie Informacji Publicznej</w:t>
      </w:r>
      <w:r w:rsidR="006F0CA7" w:rsidRPr="00F8366B">
        <w:rPr>
          <w:b w:val="0"/>
          <w:bCs/>
          <w:sz w:val="24"/>
        </w:rPr>
        <w:t>,</w:t>
      </w:r>
      <w:r w:rsidRPr="00F8366B">
        <w:rPr>
          <w:b w:val="0"/>
          <w:bCs/>
          <w:sz w:val="24"/>
        </w:rPr>
        <w:t xml:space="preserve"> na stronie p</w:t>
      </w:r>
      <w:r w:rsidR="00CD7E47" w:rsidRPr="00F8366B">
        <w:rPr>
          <w:b w:val="0"/>
          <w:bCs/>
          <w:sz w:val="24"/>
        </w:rPr>
        <w:t>odmiotowej Rządowego Centrum L</w:t>
      </w:r>
      <w:r w:rsidRPr="00F8366B">
        <w:rPr>
          <w:b w:val="0"/>
          <w:bCs/>
          <w:sz w:val="24"/>
        </w:rPr>
        <w:t>egislacji, w</w:t>
      </w:r>
      <w:r w:rsidR="003845DE" w:rsidRPr="00F8366B">
        <w:rPr>
          <w:b w:val="0"/>
          <w:bCs/>
          <w:sz w:val="24"/>
        </w:rPr>
        <w:t xml:space="preserve"> </w:t>
      </w:r>
      <w:r w:rsidRPr="00F8366B">
        <w:rPr>
          <w:b w:val="0"/>
          <w:bCs/>
          <w:sz w:val="24"/>
        </w:rPr>
        <w:t>serwis</w:t>
      </w:r>
      <w:r w:rsidR="003845DE" w:rsidRPr="00F8366B">
        <w:rPr>
          <w:b w:val="0"/>
          <w:bCs/>
          <w:sz w:val="24"/>
        </w:rPr>
        <w:t>ie Rządowy Proces Legislacyjny.</w:t>
      </w:r>
    </w:p>
    <w:sectPr w:rsidR="003C48EB" w:rsidRPr="00F8366B" w:rsidSect="001F0B6E">
      <w:footerReference w:type="even" r:id="rId11"/>
      <w:footerReference w:type="default" r:id="rId12"/>
      <w:footnotePr>
        <w:numStart w:val="3"/>
      </w:footnotePr>
      <w:pgSz w:w="11906" w:h="16838"/>
      <w:pgMar w:top="1135"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67B0" w14:textId="77777777" w:rsidR="00EA570D" w:rsidRDefault="00EA570D">
      <w:r>
        <w:separator/>
      </w:r>
    </w:p>
  </w:endnote>
  <w:endnote w:type="continuationSeparator" w:id="0">
    <w:p w14:paraId="75BEEE94" w14:textId="77777777" w:rsidR="00EA570D" w:rsidRDefault="00EA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9F5D" w14:textId="77777777" w:rsidR="00E62B26" w:rsidRDefault="00E62B26" w:rsidP="003960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C16D75" w14:textId="77777777" w:rsidR="00E62B26" w:rsidRDefault="00E62B26" w:rsidP="00E55BA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03FD" w14:textId="77777777" w:rsidR="00E62B26" w:rsidRDefault="00E62B26" w:rsidP="003960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41D73">
      <w:rPr>
        <w:rStyle w:val="Numerstrony"/>
        <w:noProof/>
      </w:rPr>
      <w:t>6</w:t>
    </w:r>
    <w:r>
      <w:rPr>
        <w:rStyle w:val="Numerstrony"/>
      </w:rPr>
      <w:fldChar w:fldCharType="end"/>
    </w:r>
  </w:p>
  <w:p w14:paraId="13AFA661" w14:textId="77777777" w:rsidR="00E62B26" w:rsidRDefault="00E62B26" w:rsidP="00E55BA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3304" w14:textId="77777777" w:rsidR="00EA570D" w:rsidRDefault="00EA570D">
      <w:r>
        <w:separator/>
      </w:r>
    </w:p>
  </w:footnote>
  <w:footnote w:type="continuationSeparator" w:id="0">
    <w:p w14:paraId="0D759651" w14:textId="77777777" w:rsidR="00EA570D" w:rsidRDefault="00EA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7CC"/>
    <w:multiLevelType w:val="hybridMultilevel"/>
    <w:tmpl w:val="0EA6769A"/>
    <w:lvl w:ilvl="0" w:tplc="A28C74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C1654D8"/>
    <w:multiLevelType w:val="hybridMultilevel"/>
    <w:tmpl w:val="4510F0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065F29"/>
    <w:multiLevelType w:val="hybridMultilevel"/>
    <w:tmpl w:val="1CD0BC4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3021AC"/>
    <w:multiLevelType w:val="hybridMultilevel"/>
    <w:tmpl w:val="B102251A"/>
    <w:lvl w:ilvl="0" w:tplc="04150011">
      <w:start w:val="1"/>
      <w:numFmt w:val="decimal"/>
      <w:lvlText w:val="%1)"/>
      <w:lvlJc w:val="left"/>
      <w:pPr>
        <w:tabs>
          <w:tab w:val="num" w:pos="720"/>
        </w:tabs>
        <w:ind w:left="720" w:hanging="360"/>
      </w:pPr>
      <w:rPr>
        <w:rFonts w:hint="default"/>
      </w:rPr>
    </w:lvl>
    <w:lvl w:ilvl="1" w:tplc="90245D4A">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E23FFB"/>
    <w:multiLevelType w:val="hybridMultilevel"/>
    <w:tmpl w:val="773E1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5F6947"/>
    <w:multiLevelType w:val="hybridMultilevel"/>
    <w:tmpl w:val="74DCA7E0"/>
    <w:lvl w:ilvl="0" w:tplc="04150011">
      <w:start w:val="1"/>
      <w:numFmt w:val="decimal"/>
      <w:lvlText w:val="%1)"/>
      <w:lvlJc w:val="left"/>
      <w:pPr>
        <w:tabs>
          <w:tab w:val="num" w:pos="720"/>
        </w:tabs>
        <w:ind w:left="720" w:hanging="360"/>
      </w:pPr>
      <w:rPr>
        <w:rFonts w:hint="default"/>
      </w:rPr>
    </w:lvl>
    <w:lvl w:ilvl="1" w:tplc="C05631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A6739EC"/>
    <w:multiLevelType w:val="hybridMultilevel"/>
    <w:tmpl w:val="3418E7BC"/>
    <w:lvl w:ilvl="0" w:tplc="9BF0C88E">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7" w15:restartNumberingAfterBreak="0">
    <w:nsid w:val="3A8C48E4"/>
    <w:multiLevelType w:val="hybridMultilevel"/>
    <w:tmpl w:val="5E488C58"/>
    <w:lvl w:ilvl="0" w:tplc="ED162950">
      <w:start w:val="1"/>
      <w:numFmt w:val="decimal"/>
      <w:lvlText w:val="%1)"/>
      <w:lvlJc w:val="left"/>
      <w:pPr>
        <w:tabs>
          <w:tab w:val="num" w:pos="2520"/>
        </w:tabs>
        <w:ind w:left="2520" w:hanging="360"/>
      </w:pPr>
      <w:rPr>
        <w:rFonts w:ascii="Times New Roman" w:eastAsia="Times New Roman" w:hAnsi="Times New Roman" w:cs="Times New Roman"/>
      </w:rPr>
    </w:lvl>
    <w:lvl w:ilvl="1" w:tplc="846C9F7C">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 w15:restartNumberingAfterBreak="0">
    <w:nsid w:val="3E4C3941"/>
    <w:multiLevelType w:val="hybridMultilevel"/>
    <w:tmpl w:val="B9440CE6"/>
    <w:lvl w:ilvl="0" w:tplc="022838A6">
      <w:start w:val="1"/>
      <w:numFmt w:val="decimal"/>
      <w:lvlText w:val="%1)"/>
      <w:lvlJc w:val="left"/>
      <w:pPr>
        <w:tabs>
          <w:tab w:val="num" w:pos="816"/>
        </w:tabs>
        <w:ind w:left="816" w:hanging="456"/>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3E70BA"/>
    <w:multiLevelType w:val="hybridMultilevel"/>
    <w:tmpl w:val="8B26C4DC"/>
    <w:lvl w:ilvl="0" w:tplc="ED662804">
      <w:start w:val="1"/>
      <w:numFmt w:val="decimal"/>
      <w:lvlText w:val="%1)"/>
      <w:lvlJc w:val="left"/>
      <w:pPr>
        <w:tabs>
          <w:tab w:val="num" w:pos="876"/>
        </w:tabs>
        <w:ind w:left="876" w:hanging="51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AC93B87"/>
    <w:multiLevelType w:val="hybridMultilevel"/>
    <w:tmpl w:val="85A81AE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C06C05"/>
    <w:multiLevelType w:val="hybridMultilevel"/>
    <w:tmpl w:val="C23C3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9C0412"/>
    <w:multiLevelType w:val="hybridMultilevel"/>
    <w:tmpl w:val="D284C68A"/>
    <w:lvl w:ilvl="0" w:tplc="B352CDFC">
      <w:start w:val="1"/>
      <w:numFmt w:val="decimal"/>
      <w:lvlText w:val="%1)"/>
      <w:lvlJc w:val="left"/>
      <w:pPr>
        <w:tabs>
          <w:tab w:val="num" w:pos="756"/>
        </w:tabs>
        <w:ind w:left="75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7D63F5F"/>
    <w:multiLevelType w:val="hybridMultilevel"/>
    <w:tmpl w:val="42E4B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30C5FC7"/>
    <w:multiLevelType w:val="hybridMultilevel"/>
    <w:tmpl w:val="C1964E84"/>
    <w:lvl w:ilvl="0" w:tplc="D2C2D1D6">
      <w:start w:val="1"/>
      <w:numFmt w:val="upperRoman"/>
      <w:lvlText w:val="%1."/>
      <w:lvlJc w:val="right"/>
      <w:pPr>
        <w:ind w:left="50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75C83964"/>
    <w:multiLevelType w:val="hybridMultilevel"/>
    <w:tmpl w:val="70365814"/>
    <w:lvl w:ilvl="0" w:tplc="79E246F4">
      <w:start w:val="1"/>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16" w15:restartNumberingAfterBreak="0">
    <w:nsid w:val="7A387A59"/>
    <w:multiLevelType w:val="hybridMultilevel"/>
    <w:tmpl w:val="72A0CDBA"/>
    <w:lvl w:ilvl="0" w:tplc="A8EE270C">
      <w:start w:val="1"/>
      <w:numFmt w:val="decimal"/>
      <w:lvlText w:val="%1)"/>
      <w:lvlJc w:val="left"/>
      <w:pPr>
        <w:tabs>
          <w:tab w:val="num" w:pos="978"/>
        </w:tabs>
        <w:ind w:left="978" w:hanging="468"/>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17" w15:restartNumberingAfterBreak="0">
    <w:nsid w:val="7A600551"/>
    <w:multiLevelType w:val="hybridMultilevel"/>
    <w:tmpl w:val="26004B16"/>
    <w:lvl w:ilvl="0" w:tplc="0FB884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7"/>
  </w:num>
  <w:num w:numId="5">
    <w:abstractNumId w:val="2"/>
  </w:num>
  <w:num w:numId="6">
    <w:abstractNumId w:val="5"/>
  </w:num>
  <w:num w:numId="7">
    <w:abstractNumId w:val="8"/>
  </w:num>
  <w:num w:numId="8">
    <w:abstractNumId w:val="6"/>
  </w:num>
  <w:num w:numId="9">
    <w:abstractNumId w:val="16"/>
  </w:num>
  <w:num w:numId="10">
    <w:abstractNumId w:val="13"/>
  </w:num>
  <w:num w:numId="11">
    <w:abstractNumId w:val="9"/>
  </w:num>
  <w:num w:numId="12">
    <w:abstractNumId w:val="12"/>
  </w:num>
  <w:num w:numId="13">
    <w:abstractNumId w:val="4"/>
  </w:num>
  <w:num w:numId="14">
    <w:abstractNumId w:val="1"/>
  </w:num>
  <w:num w:numId="15">
    <w:abstractNumId w:val="15"/>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0D"/>
    <w:rsid w:val="000010A4"/>
    <w:rsid w:val="00002257"/>
    <w:rsid w:val="00003079"/>
    <w:rsid w:val="0000356B"/>
    <w:rsid w:val="00006DF5"/>
    <w:rsid w:val="00011ABA"/>
    <w:rsid w:val="0001243B"/>
    <w:rsid w:val="00015011"/>
    <w:rsid w:val="00015124"/>
    <w:rsid w:val="0001589C"/>
    <w:rsid w:val="00015B1E"/>
    <w:rsid w:val="00015BB2"/>
    <w:rsid w:val="000169AF"/>
    <w:rsid w:val="00016EA8"/>
    <w:rsid w:val="0001783C"/>
    <w:rsid w:val="000221AA"/>
    <w:rsid w:val="00023365"/>
    <w:rsid w:val="000271AF"/>
    <w:rsid w:val="00027250"/>
    <w:rsid w:val="00033D3B"/>
    <w:rsid w:val="00034E65"/>
    <w:rsid w:val="00035977"/>
    <w:rsid w:val="00035D04"/>
    <w:rsid w:val="00036C75"/>
    <w:rsid w:val="00042867"/>
    <w:rsid w:val="0004393A"/>
    <w:rsid w:val="00043DFC"/>
    <w:rsid w:val="0004510F"/>
    <w:rsid w:val="0004565D"/>
    <w:rsid w:val="00046526"/>
    <w:rsid w:val="000471CA"/>
    <w:rsid w:val="00050219"/>
    <w:rsid w:val="000525DA"/>
    <w:rsid w:val="0005764F"/>
    <w:rsid w:val="000622E2"/>
    <w:rsid w:val="00062386"/>
    <w:rsid w:val="00064EC7"/>
    <w:rsid w:val="00071ED6"/>
    <w:rsid w:val="0007236E"/>
    <w:rsid w:val="000732E5"/>
    <w:rsid w:val="00073727"/>
    <w:rsid w:val="000768E6"/>
    <w:rsid w:val="0007793A"/>
    <w:rsid w:val="00080F45"/>
    <w:rsid w:val="0008299E"/>
    <w:rsid w:val="000837AA"/>
    <w:rsid w:val="00083DD4"/>
    <w:rsid w:val="00086D49"/>
    <w:rsid w:val="00087411"/>
    <w:rsid w:val="00090692"/>
    <w:rsid w:val="000932AF"/>
    <w:rsid w:val="000932BA"/>
    <w:rsid w:val="00093E5B"/>
    <w:rsid w:val="00096744"/>
    <w:rsid w:val="000A0960"/>
    <w:rsid w:val="000A1203"/>
    <w:rsid w:val="000A3A43"/>
    <w:rsid w:val="000A6466"/>
    <w:rsid w:val="000A65CC"/>
    <w:rsid w:val="000B04D8"/>
    <w:rsid w:val="000B1632"/>
    <w:rsid w:val="000B2B12"/>
    <w:rsid w:val="000B2E1D"/>
    <w:rsid w:val="000B5647"/>
    <w:rsid w:val="000B7046"/>
    <w:rsid w:val="000B72BE"/>
    <w:rsid w:val="000B7BF4"/>
    <w:rsid w:val="000C1BB8"/>
    <w:rsid w:val="000C4C57"/>
    <w:rsid w:val="000C5D52"/>
    <w:rsid w:val="000C6900"/>
    <w:rsid w:val="000D21CF"/>
    <w:rsid w:val="000D24AC"/>
    <w:rsid w:val="000D422F"/>
    <w:rsid w:val="000D4D13"/>
    <w:rsid w:val="000D7557"/>
    <w:rsid w:val="000E0DCE"/>
    <w:rsid w:val="000E2B05"/>
    <w:rsid w:val="000E4E2E"/>
    <w:rsid w:val="000E541D"/>
    <w:rsid w:val="000E55FC"/>
    <w:rsid w:val="000E5A25"/>
    <w:rsid w:val="000E6F1C"/>
    <w:rsid w:val="000F18CD"/>
    <w:rsid w:val="000F4087"/>
    <w:rsid w:val="000F499D"/>
    <w:rsid w:val="000F605E"/>
    <w:rsid w:val="000F73B0"/>
    <w:rsid w:val="000F7AA3"/>
    <w:rsid w:val="00100A88"/>
    <w:rsid w:val="00100D73"/>
    <w:rsid w:val="00102E5F"/>
    <w:rsid w:val="0010373E"/>
    <w:rsid w:val="00105767"/>
    <w:rsid w:val="00105E59"/>
    <w:rsid w:val="00106AD4"/>
    <w:rsid w:val="00110090"/>
    <w:rsid w:val="00110522"/>
    <w:rsid w:val="001109F7"/>
    <w:rsid w:val="00113471"/>
    <w:rsid w:val="00116A79"/>
    <w:rsid w:val="001174B2"/>
    <w:rsid w:val="00117C16"/>
    <w:rsid w:val="00121D5C"/>
    <w:rsid w:val="00122B14"/>
    <w:rsid w:val="00123B6F"/>
    <w:rsid w:val="001249F7"/>
    <w:rsid w:val="0012640F"/>
    <w:rsid w:val="00126DB6"/>
    <w:rsid w:val="001277B0"/>
    <w:rsid w:val="0013072D"/>
    <w:rsid w:val="001313E3"/>
    <w:rsid w:val="001336B7"/>
    <w:rsid w:val="001407CD"/>
    <w:rsid w:val="00140E86"/>
    <w:rsid w:val="00141999"/>
    <w:rsid w:val="00141A37"/>
    <w:rsid w:val="00141BB1"/>
    <w:rsid w:val="001453F5"/>
    <w:rsid w:val="00153592"/>
    <w:rsid w:val="00154463"/>
    <w:rsid w:val="00156F18"/>
    <w:rsid w:val="001571C1"/>
    <w:rsid w:val="0016083D"/>
    <w:rsid w:val="00160BD2"/>
    <w:rsid w:val="00162CE1"/>
    <w:rsid w:val="00163762"/>
    <w:rsid w:val="001674E3"/>
    <w:rsid w:val="00173275"/>
    <w:rsid w:val="00173973"/>
    <w:rsid w:val="0017605E"/>
    <w:rsid w:val="00177C18"/>
    <w:rsid w:val="00180AB8"/>
    <w:rsid w:val="00181F18"/>
    <w:rsid w:val="001829CC"/>
    <w:rsid w:val="00182F72"/>
    <w:rsid w:val="0018577B"/>
    <w:rsid w:val="00186727"/>
    <w:rsid w:val="00187763"/>
    <w:rsid w:val="00187DA2"/>
    <w:rsid w:val="00190D77"/>
    <w:rsid w:val="00191544"/>
    <w:rsid w:val="001929D3"/>
    <w:rsid w:val="00193C50"/>
    <w:rsid w:val="00194B6C"/>
    <w:rsid w:val="00195C72"/>
    <w:rsid w:val="00196797"/>
    <w:rsid w:val="00196B4A"/>
    <w:rsid w:val="001A0128"/>
    <w:rsid w:val="001A2B47"/>
    <w:rsid w:val="001A3461"/>
    <w:rsid w:val="001A598A"/>
    <w:rsid w:val="001A6F0A"/>
    <w:rsid w:val="001B06D9"/>
    <w:rsid w:val="001B4B16"/>
    <w:rsid w:val="001B7EAD"/>
    <w:rsid w:val="001C06B1"/>
    <w:rsid w:val="001C0C37"/>
    <w:rsid w:val="001C65F2"/>
    <w:rsid w:val="001D028D"/>
    <w:rsid w:val="001D1081"/>
    <w:rsid w:val="001D1C8E"/>
    <w:rsid w:val="001D3B1C"/>
    <w:rsid w:val="001D4AA3"/>
    <w:rsid w:val="001E1114"/>
    <w:rsid w:val="001E260E"/>
    <w:rsid w:val="001E2D09"/>
    <w:rsid w:val="001E2F69"/>
    <w:rsid w:val="001E4849"/>
    <w:rsid w:val="001E52E6"/>
    <w:rsid w:val="001E5313"/>
    <w:rsid w:val="001E6799"/>
    <w:rsid w:val="001F0B6E"/>
    <w:rsid w:val="001F3B3E"/>
    <w:rsid w:val="001F5270"/>
    <w:rsid w:val="001F5885"/>
    <w:rsid w:val="001F68C9"/>
    <w:rsid w:val="00200694"/>
    <w:rsid w:val="002020D7"/>
    <w:rsid w:val="00204087"/>
    <w:rsid w:val="00212A59"/>
    <w:rsid w:val="00214EB8"/>
    <w:rsid w:val="00216DDE"/>
    <w:rsid w:val="00220A6F"/>
    <w:rsid w:val="002221B2"/>
    <w:rsid w:val="00223E2D"/>
    <w:rsid w:val="00224885"/>
    <w:rsid w:val="00225660"/>
    <w:rsid w:val="00226978"/>
    <w:rsid w:val="002355EE"/>
    <w:rsid w:val="00235908"/>
    <w:rsid w:val="00235A22"/>
    <w:rsid w:val="002363D7"/>
    <w:rsid w:val="00236FEA"/>
    <w:rsid w:val="00237802"/>
    <w:rsid w:val="002418AB"/>
    <w:rsid w:val="00245E28"/>
    <w:rsid w:val="002467F6"/>
    <w:rsid w:val="00247C5B"/>
    <w:rsid w:val="00250E67"/>
    <w:rsid w:val="00250F37"/>
    <w:rsid w:val="00252B3E"/>
    <w:rsid w:val="00255F2D"/>
    <w:rsid w:val="00264BAA"/>
    <w:rsid w:val="00267501"/>
    <w:rsid w:val="00267AAE"/>
    <w:rsid w:val="00270C51"/>
    <w:rsid w:val="002712E2"/>
    <w:rsid w:val="00271B7E"/>
    <w:rsid w:val="00272258"/>
    <w:rsid w:val="00274B5A"/>
    <w:rsid w:val="00280667"/>
    <w:rsid w:val="00280A52"/>
    <w:rsid w:val="002839E0"/>
    <w:rsid w:val="00284209"/>
    <w:rsid w:val="00285469"/>
    <w:rsid w:val="00285F24"/>
    <w:rsid w:val="00287479"/>
    <w:rsid w:val="00287D65"/>
    <w:rsid w:val="002934DD"/>
    <w:rsid w:val="00294993"/>
    <w:rsid w:val="002955A5"/>
    <w:rsid w:val="002961E6"/>
    <w:rsid w:val="00296939"/>
    <w:rsid w:val="002A0104"/>
    <w:rsid w:val="002A1875"/>
    <w:rsid w:val="002A1C66"/>
    <w:rsid w:val="002A2FF1"/>
    <w:rsid w:val="002B3C56"/>
    <w:rsid w:val="002B50D0"/>
    <w:rsid w:val="002B7613"/>
    <w:rsid w:val="002C0A5C"/>
    <w:rsid w:val="002C0EEE"/>
    <w:rsid w:val="002C10D0"/>
    <w:rsid w:val="002C1A86"/>
    <w:rsid w:val="002C52AA"/>
    <w:rsid w:val="002C5FB7"/>
    <w:rsid w:val="002C63E7"/>
    <w:rsid w:val="002C7DB7"/>
    <w:rsid w:val="002D003A"/>
    <w:rsid w:val="002D07E7"/>
    <w:rsid w:val="002D4221"/>
    <w:rsid w:val="002D6C08"/>
    <w:rsid w:val="002E09CB"/>
    <w:rsid w:val="002E109E"/>
    <w:rsid w:val="002E4E19"/>
    <w:rsid w:val="002E506E"/>
    <w:rsid w:val="002E6E4F"/>
    <w:rsid w:val="002E7ED3"/>
    <w:rsid w:val="002F0432"/>
    <w:rsid w:val="002F22DD"/>
    <w:rsid w:val="002F5029"/>
    <w:rsid w:val="00302135"/>
    <w:rsid w:val="00303AFA"/>
    <w:rsid w:val="00313B97"/>
    <w:rsid w:val="00316FEC"/>
    <w:rsid w:val="00317A48"/>
    <w:rsid w:val="00322E86"/>
    <w:rsid w:val="00327B87"/>
    <w:rsid w:val="00327E35"/>
    <w:rsid w:val="0033054B"/>
    <w:rsid w:val="0033141A"/>
    <w:rsid w:val="00332AFC"/>
    <w:rsid w:val="00333326"/>
    <w:rsid w:val="00335F18"/>
    <w:rsid w:val="00336326"/>
    <w:rsid w:val="00343567"/>
    <w:rsid w:val="00343706"/>
    <w:rsid w:val="00344AD4"/>
    <w:rsid w:val="00344E21"/>
    <w:rsid w:val="0034749F"/>
    <w:rsid w:val="00350DFA"/>
    <w:rsid w:val="00352448"/>
    <w:rsid w:val="003538E3"/>
    <w:rsid w:val="00354922"/>
    <w:rsid w:val="00354CD4"/>
    <w:rsid w:val="00355FA1"/>
    <w:rsid w:val="00356483"/>
    <w:rsid w:val="00361455"/>
    <w:rsid w:val="00363F04"/>
    <w:rsid w:val="0036505E"/>
    <w:rsid w:val="0036598A"/>
    <w:rsid w:val="00367CD9"/>
    <w:rsid w:val="003719F6"/>
    <w:rsid w:val="00371FFF"/>
    <w:rsid w:val="0037254F"/>
    <w:rsid w:val="00372954"/>
    <w:rsid w:val="0037495F"/>
    <w:rsid w:val="003804AD"/>
    <w:rsid w:val="00380D29"/>
    <w:rsid w:val="00383200"/>
    <w:rsid w:val="003845DE"/>
    <w:rsid w:val="00384FB5"/>
    <w:rsid w:val="003853AD"/>
    <w:rsid w:val="00391E46"/>
    <w:rsid w:val="003932FA"/>
    <w:rsid w:val="003944A5"/>
    <w:rsid w:val="003944DB"/>
    <w:rsid w:val="00395610"/>
    <w:rsid w:val="003960E1"/>
    <w:rsid w:val="00397670"/>
    <w:rsid w:val="003A058B"/>
    <w:rsid w:val="003A185E"/>
    <w:rsid w:val="003A4528"/>
    <w:rsid w:val="003A47B3"/>
    <w:rsid w:val="003A6177"/>
    <w:rsid w:val="003A67B2"/>
    <w:rsid w:val="003B04B9"/>
    <w:rsid w:val="003B220C"/>
    <w:rsid w:val="003B45D3"/>
    <w:rsid w:val="003B60E7"/>
    <w:rsid w:val="003C1089"/>
    <w:rsid w:val="003C2AD8"/>
    <w:rsid w:val="003C3199"/>
    <w:rsid w:val="003C33BA"/>
    <w:rsid w:val="003C3F6B"/>
    <w:rsid w:val="003C48EB"/>
    <w:rsid w:val="003C4FF6"/>
    <w:rsid w:val="003C542D"/>
    <w:rsid w:val="003C59CC"/>
    <w:rsid w:val="003D0FD4"/>
    <w:rsid w:val="003D1FE9"/>
    <w:rsid w:val="003D3E41"/>
    <w:rsid w:val="003E287D"/>
    <w:rsid w:val="003E4199"/>
    <w:rsid w:val="003E44E7"/>
    <w:rsid w:val="003E472F"/>
    <w:rsid w:val="003F1C52"/>
    <w:rsid w:val="003F297F"/>
    <w:rsid w:val="003F66F4"/>
    <w:rsid w:val="004014CA"/>
    <w:rsid w:val="00404A9A"/>
    <w:rsid w:val="004070E7"/>
    <w:rsid w:val="00413EEB"/>
    <w:rsid w:val="00414023"/>
    <w:rsid w:val="004147B6"/>
    <w:rsid w:val="00414B4F"/>
    <w:rsid w:val="004154B5"/>
    <w:rsid w:val="0041600D"/>
    <w:rsid w:val="00421254"/>
    <w:rsid w:val="00421857"/>
    <w:rsid w:val="00423385"/>
    <w:rsid w:val="0042395D"/>
    <w:rsid w:val="00425CC2"/>
    <w:rsid w:val="0042712B"/>
    <w:rsid w:val="00427937"/>
    <w:rsid w:val="0043749F"/>
    <w:rsid w:val="00441D73"/>
    <w:rsid w:val="0044243C"/>
    <w:rsid w:val="00442FD0"/>
    <w:rsid w:val="00443985"/>
    <w:rsid w:val="00445375"/>
    <w:rsid w:val="00445E0C"/>
    <w:rsid w:val="004477F7"/>
    <w:rsid w:val="00447802"/>
    <w:rsid w:val="004504EE"/>
    <w:rsid w:val="00452F9D"/>
    <w:rsid w:val="00453316"/>
    <w:rsid w:val="004550BC"/>
    <w:rsid w:val="00457EC1"/>
    <w:rsid w:val="00461B8B"/>
    <w:rsid w:val="00462028"/>
    <w:rsid w:val="0046289F"/>
    <w:rsid w:val="00463399"/>
    <w:rsid w:val="004639A1"/>
    <w:rsid w:val="00465A0A"/>
    <w:rsid w:val="004664F0"/>
    <w:rsid w:val="00466E9D"/>
    <w:rsid w:val="00470C43"/>
    <w:rsid w:val="00472370"/>
    <w:rsid w:val="00472869"/>
    <w:rsid w:val="00474DF3"/>
    <w:rsid w:val="004778FB"/>
    <w:rsid w:val="00477B63"/>
    <w:rsid w:val="0048034C"/>
    <w:rsid w:val="0048138A"/>
    <w:rsid w:val="00483843"/>
    <w:rsid w:val="00487461"/>
    <w:rsid w:val="004906EF"/>
    <w:rsid w:val="0049149F"/>
    <w:rsid w:val="00491997"/>
    <w:rsid w:val="00494083"/>
    <w:rsid w:val="00496CB7"/>
    <w:rsid w:val="004A1137"/>
    <w:rsid w:val="004A1507"/>
    <w:rsid w:val="004A1865"/>
    <w:rsid w:val="004A220D"/>
    <w:rsid w:val="004B5221"/>
    <w:rsid w:val="004B5288"/>
    <w:rsid w:val="004B68D6"/>
    <w:rsid w:val="004B7646"/>
    <w:rsid w:val="004D113E"/>
    <w:rsid w:val="004D198F"/>
    <w:rsid w:val="004D27E6"/>
    <w:rsid w:val="004D43B3"/>
    <w:rsid w:val="004D58B7"/>
    <w:rsid w:val="004D5938"/>
    <w:rsid w:val="004D6BFD"/>
    <w:rsid w:val="004D7871"/>
    <w:rsid w:val="004E0E16"/>
    <w:rsid w:val="004E1AB9"/>
    <w:rsid w:val="004E3204"/>
    <w:rsid w:val="004E592D"/>
    <w:rsid w:val="004E764D"/>
    <w:rsid w:val="004F0388"/>
    <w:rsid w:val="004F108E"/>
    <w:rsid w:val="004F300F"/>
    <w:rsid w:val="004F3524"/>
    <w:rsid w:val="004F5115"/>
    <w:rsid w:val="004F517F"/>
    <w:rsid w:val="004F5FA1"/>
    <w:rsid w:val="004F6E6F"/>
    <w:rsid w:val="0050017D"/>
    <w:rsid w:val="0050074E"/>
    <w:rsid w:val="00501396"/>
    <w:rsid w:val="00501B25"/>
    <w:rsid w:val="0050329B"/>
    <w:rsid w:val="005053E1"/>
    <w:rsid w:val="00505A1E"/>
    <w:rsid w:val="00505D4A"/>
    <w:rsid w:val="00510182"/>
    <w:rsid w:val="005171DA"/>
    <w:rsid w:val="00523C1C"/>
    <w:rsid w:val="00526A2A"/>
    <w:rsid w:val="00527D03"/>
    <w:rsid w:val="00530638"/>
    <w:rsid w:val="00534531"/>
    <w:rsid w:val="005354C2"/>
    <w:rsid w:val="00536601"/>
    <w:rsid w:val="005368A3"/>
    <w:rsid w:val="00537834"/>
    <w:rsid w:val="00541C7B"/>
    <w:rsid w:val="00541E6A"/>
    <w:rsid w:val="00543CF8"/>
    <w:rsid w:val="0054411C"/>
    <w:rsid w:val="00544D3A"/>
    <w:rsid w:val="00545C4F"/>
    <w:rsid w:val="00547E84"/>
    <w:rsid w:val="005528A3"/>
    <w:rsid w:val="00552A2D"/>
    <w:rsid w:val="00553077"/>
    <w:rsid w:val="005537FF"/>
    <w:rsid w:val="00553A79"/>
    <w:rsid w:val="00554FEB"/>
    <w:rsid w:val="005559DD"/>
    <w:rsid w:val="005674B0"/>
    <w:rsid w:val="0056769F"/>
    <w:rsid w:val="00571987"/>
    <w:rsid w:val="005736D8"/>
    <w:rsid w:val="005740F0"/>
    <w:rsid w:val="00575375"/>
    <w:rsid w:val="0057746D"/>
    <w:rsid w:val="00582017"/>
    <w:rsid w:val="00582C66"/>
    <w:rsid w:val="0058314A"/>
    <w:rsid w:val="00583257"/>
    <w:rsid w:val="00587F3B"/>
    <w:rsid w:val="00591854"/>
    <w:rsid w:val="00591E29"/>
    <w:rsid w:val="00591EAD"/>
    <w:rsid w:val="0059350C"/>
    <w:rsid w:val="00595E08"/>
    <w:rsid w:val="00596FAA"/>
    <w:rsid w:val="005A48A4"/>
    <w:rsid w:val="005A6818"/>
    <w:rsid w:val="005B1AEA"/>
    <w:rsid w:val="005B443D"/>
    <w:rsid w:val="005B684C"/>
    <w:rsid w:val="005C01E9"/>
    <w:rsid w:val="005C41E7"/>
    <w:rsid w:val="005C4AA9"/>
    <w:rsid w:val="005C7453"/>
    <w:rsid w:val="005D1F42"/>
    <w:rsid w:val="005D328E"/>
    <w:rsid w:val="005D3933"/>
    <w:rsid w:val="005D3AE1"/>
    <w:rsid w:val="005D4374"/>
    <w:rsid w:val="005D5741"/>
    <w:rsid w:val="005D781E"/>
    <w:rsid w:val="005D7A32"/>
    <w:rsid w:val="005E49FC"/>
    <w:rsid w:val="005E67BE"/>
    <w:rsid w:val="005F059A"/>
    <w:rsid w:val="005F0C31"/>
    <w:rsid w:val="005F32F3"/>
    <w:rsid w:val="005F39DE"/>
    <w:rsid w:val="005F4EB6"/>
    <w:rsid w:val="005F68A0"/>
    <w:rsid w:val="005F7E53"/>
    <w:rsid w:val="006004DB"/>
    <w:rsid w:val="00600514"/>
    <w:rsid w:val="00600E63"/>
    <w:rsid w:val="00603D63"/>
    <w:rsid w:val="00604BCC"/>
    <w:rsid w:val="00606867"/>
    <w:rsid w:val="0061250F"/>
    <w:rsid w:val="0061285D"/>
    <w:rsid w:val="00614141"/>
    <w:rsid w:val="00616ED0"/>
    <w:rsid w:val="00616FAA"/>
    <w:rsid w:val="00620DBC"/>
    <w:rsid w:val="00622163"/>
    <w:rsid w:val="006251AA"/>
    <w:rsid w:val="00634B71"/>
    <w:rsid w:val="00643657"/>
    <w:rsid w:val="0064441A"/>
    <w:rsid w:val="00644539"/>
    <w:rsid w:val="006477FA"/>
    <w:rsid w:val="00651A3D"/>
    <w:rsid w:val="00652A43"/>
    <w:rsid w:val="00654023"/>
    <w:rsid w:val="00654256"/>
    <w:rsid w:val="006562A8"/>
    <w:rsid w:val="0065765F"/>
    <w:rsid w:val="00657CB6"/>
    <w:rsid w:val="00660EFB"/>
    <w:rsid w:val="00661B75"/>
    <w:rsid w:val="00661C8C"/>
    <w:rsid w:val="00662D40"/>
    <w:rsid w:val="00662E34"/>
    <w:rsid w:val="00664A27"/>
    <w:rsid w:val="00665BFD"/>
    <w:rsid w:val="006672F7"/>
    <w:rsid w:val="00671555"/>
    <w:rsid w:val="00671F83"/>
    <w:rsid w:val="00676135"/>
    <w:rsid w:val="00677060"/>
    <w:rsid w:val="006800B2"/>
    <w:rsid w:val="00680827"/>
    <w:rsid w:val="00684546"/>
    <w:rsid w:val="00686AE4"/>
    <w:rsid w:val="00690259"/>
    <w:rsid w:val="00690CCF"/>
    <w:rsid w:val="00690E2D"/>
    <w:rsid w:val="006921B2"/>
    <w:rsid w:val="006957D7"/>
    <w:rsid w:val="006A061D"/>
    <w:rsid w:val="006A5405"/>
    <w:rsid w:val="006A6306"/>
    <w:rsid w:val="006A779E"/>
    <w:rsid w:val="006B0FAA"/>
    <w:rsid w:val="006B1F20"/>
    <w:rsid w:val="006B40B8"/>
    <w:rsid w:val="006B6ABF"/>
    <w:rsid w:val="006B7DCB"/>
    <w:rsid w:val="006C20CC"/>
    <w:rsid w:val="006C393B"/>
    <w:rsid w:val="006C5562"/>
    <w:rsid w:val="006D1102"/>
    <w:rsid w:val="006D1864"/>
    <w:rsid w:val="006D23BC"/>
    <w:rsid w:val="006D3A37"/>
    <w:rsid w:val="006D59F1"/>
    <w:rsid w:val="006E05D7"/>
    <w:rsid w:val="006E53EE"/>
    <w:rsid w:val="006E5B0E"/>
    <w:rsid w:val="006E62C2"/>
    <w:rsid w:val="006E653C"/>
    <w:rsid w:val="006E79D1"/>
    <w:rsid w:val="006F0CA7"/>
    <w:rsid w:val="006F1AD4"/>
    <w:rsid w:val="006F4E45"/>
    <w:rsid w:val="006F7CEE"/>
    <w:rsid w:val="00700F76"/>
    <w:rsid w:val="0070296D"/>
    <w:rsid w:val="00702E6F"/>
    <w:rsid w:val="0070461D"/>
    <w:rsid w:val="00710EBC"/>
    <w:rsid w:val="00712830"/>
    <w:rsid w:val="00713319"/>
    <w:rsid w:val="00713A45"/>
    <w:rsid w:val="00714A31"/>
    <w:rsid w:val="0072583D"/>
    <w:rsid w:val="00725BDB"/>
    <w:rsid w:val="00727498"/>
    <w:rsid w:val="00730732"/>
    <w:rsid w:val="007312F9"/>
    <w:rsid w:val="00731B31"/>
    <w:rsid w:val="007330AB"/>
    <w:rsid w:val="00733E10"/>
    <w:rsid w:val="00734743"/>
    <w:rsid w:val="00736E29"/>
    <w:rsid w:val="00737F93"/>
    <w:rsid w:val="00741AB5"/>
    <w:rsid w:val="0074395E"/>
    <w:rsid w:val="0074511C"/>
    <w:rsid w:val="007466A2"/>
    <w:rsid w:val="00746D18"/>
    <w:rsid w:val="00747D3E"/>
    <w:rsid w:val="00750132"/>
    <w:rsid w:val="00750736"/>
    <w:rsid w:val="00751463"/>
    <w:rsid w:val="00752C21"/>
    <w:rsid w:val="00752DFD"/>
    <w:rsid w:val="00753735"/>
    <w:rsid w:val="00753905"/>
    <w:rsid w:val="00756B81"/>
    <w:rsid w:val="00766ACA"/>
    <w:rsid w:val="00771F41"/>
    <w:rsid w:val="0077343D"/>
    <w:rsid w:val="00773EE0"/>
    <w:rsid w:val="00775DA0"/>
    <w:rsid w:val="00775FCC"/>
    <w:rsid w:val="00780349"/>
    <w:rsid w:val="00780F14"/>
    <w:rsid w:val="007831B5"/>
    <w:rsid w:val="007850B8"/>
    <w:rsid w:val="007851E0"/>
    <w:rsid w:val="00785B9E"/>
    <w:rsid w:val="007863CB"/>
    <w:rsid w:val="007906EE"/>
    <w:rsid w:val="007921A3"/>
    <w:rsid w:val="0079408F"/>
    <w:rsid w:val="00794635"/>
    <w:rsid w:val="00794B74"/>
    <w:rsid w:val="007954B1"/>
    <w:rsid w:val="00797EB6"/>
    <w:rsid w:val="007A0AD9"/>
    <w:rsid w:val="007A1465"/>
    <w:rsid w:val="007A3E72"/>
    <w:rsid w:val="007A3F04"/>
    <w:rsid w:val="007A50C1"/>
    <w:rsid w:val="007A763B"/>
    <w:rsid w:val="007B11E7"/>
    <w:rsid w:val="007B2094"/>
    <w:rsid w:val="007B3409"/>
    <w:rsid w:val="007B40B6"/>
    <w:rsid w:val="007B63A6"/>
    <w:rsid w:val="007B7B0A"/>
    <w:rsid w:val="007C4E11"/>
    <w:rsid w:val="007C7A24"/>
    <w:rsid w:val="007D0F32"/>
    <w:rsid w:val="007D2E10"/>
    <w:rsid w:val="007D2F54"/>
    <w:rsid w:val="007D759C"/>
    <w:rsid w:val="007E1088"/>
    <w:rsid w:val="007E289B"/>
    <w:rsid w:val="007E40DE"/>
    <w:rsid w:val="007E79DF"/>
    <w:rsid w:val="007F01A0"/>
    <w:rsid w:val="007F0378"/>
    <w:rsid w:val="007F1825"/>
    <w:rsid w:val="007F1C61"/>
    <w:rsid w:val="007F437D"/>
    <w:rsid w:val="007F47A0"/>
    <w:rsid w:val="007F524A"/>
    <w:rsid w:val="007F5861"/>
    <w:rsid w:val="007F6B2F"/>
    <w:rsid w:val="007F6C2A"/>
    <w:rsid w:val="007F6D0A"/>
    <w:rsid w:val="0080345F"/>
    <w:rsid w:val="00805FA2"/>
    <w:rsid w:val="00810B1A"/>
    <w:rsid w:val="00810EFC"/>
    <w:rsid w:val="00812F53"/>
    <w:rsid w:val="00817D48"/>
    <w:rsid w:val="008206C8"/>
    <w:rsid w:val="008225AB"/>
    <w:rsid w:val="00822BB8"/>
    <w:rsid w:val="008232A9"/>
    <w:rsid w:val="0082581C"/>
    <w:rsid w:val="00826754"/>
    <w:rsid w:val="00826F2E"/>
    <w:rsid w:val="008272AD"/>
    <w:rsid w:val="008327A6"/>
    <w:rsid w:val="00834F56"/>
    <w:rsid w:val="00835934"/>
    <w:rsid w:val="00842001"/>
    <w:rsid w:val="00844AFF"/>
    <w:rsid w:val="00845B22"/>
    <w:rsid w:val="00846841"/>
    <w:rsid w:val="0085314F"/>
    <w:rsid w:val="00853831"/>
    <w:rsid w:val="00860870"/>
    <w:rsid w:val="008658C2"/>
    <w:rsid w:val="008666DD"/>
    <w:rsid w:val="00873308"/>
    <w:rsid w:val="008740B4"/>
    <w:rsid w:val="00875E1E"/>
    <w:rsid w:val="00876A7B"/>
    <w:rsid w:val="00876BFE"/>
    <w:rsid w:val="008819A2"/>
    <w:rsid w:val="00881ED8"/>
    <w:rsid w:val="00882154"/>
    <w:rsid w:val="00883555"/>
    <w:rsid w:val="00886EC5"/>
    <w:rsid w:val="00890A22"/>
    <w:rsid w:val="00895B01"/>
    <w:rsid w:val="00895DD2"/>
    <w:rsid w:val="00897C10"/>
    <w:rsid w:val="008A3265"/>
    <w:rsid w:val="008A3E9A"/>
    <w:rsid w:val="008B0C50"/>
    <w:rsid w:val="008B1FEA"/>
    <w:rsid w:val="008B468A"/>
    <w:rsid w:val="008B6A18"/>
    <w:rsid w:val="008B7C9E"/>
    <w:rsid w:val="008C578A"/>
    <w:rsid w:val="008C5F10"/>
    <w:rsid w:val="008C6747"/>
    <w:rsid w:val="008C6E4B"/>
    <w:rsid w:val="008C75BE"/>
    <w:rsid w:val="008D13A2"/>
    <w:rsid w:val="008D256A"/>
    <w:rsid w:val="008D27EA"/>
    <w:rsid w:val="008D2FC9"/>
    <w:rsid w:val="008D47FE"/>
    <w:rsid w:val="008D573E"/>
    <w:rsid w:val="008D57B1"/>
    <w:rsid w:val="008D6015"/>
    <w:rsid w:val="008E0BD2"/>
    <w:rsid w:val="008E0F19"/>
    <w:rsid w:val="008E3ACA"/>
    <w:rsid w:val="008E5934"/>
    <w:rsid w:val="008F42D8"/>
    <w:rsid w:val="008F7860"/>
    <w:rsid w:val="00900730"/>
    <w:rsid w:val="0090137C"/>
    <w:rsid w:val="00902964"/>
    <w:rsid w:val="00913946"/>
    <w:rsid w:val="0091412B"/>
    <w:rsid w:val="00914DD0"/>
    <w:rsid w:val="00915160"/>
    <w:rsid w:val="009159CE"/>
    <w:rsid w:val="009178F0"/>
    <w:rsid w:val="00917D40"/>
    <w:rsid w:val="00921268"/>
    <w:rsid w:val="009308AD"/>
    <w:rsid w:val="00930FB1"/>
    <w:rsid w:val="00931B79"/>
    <w:rsid w:val="0094056E"/>
    <w:rsid w:val="00941362"/>
    <w:rsid w:val="00941CD7"/>
    <w:rsid w:val="00942B51"/>
    <w:rsid w:val="00943523"/>
    <w:rsid w:val="009435BD"/>
    <w:rsid w:val="00945B6F"/>
    <w:rsid w:val="00950937"/>
    <w:rsid w:val="009531F5"/>
    <w:rsid w:val="00956C22"/>
    <w:rsid w:val="009570C8"/>
    <w:rsid w:val="0096389E"/>
    <w:rsid w:val="00964200"/>
    <w:rsid w:val="0096653D"/>
    <w:rsid w:val="00967957"/>
    <w:rsid w:val="00971139"/>
    <w:rsid w:val="009731F3"/>
    <w:rsid w:val="0097383D"/>
    <w:rsid w:val="0097385C"/>
    <w:rsid w:val="00974B3A"/>
    <w:rsid w:val="0097553B"/>
    <w:rsid w:val="00975FC5"/>
    <w:rsid w:val="009760F8"/>
    <w:rsid w:val="00981C54"/>
    <w:rsid w:val="00982BA2"/>
    <w:rsid w:val="00984E0F"/>
    <w:rsid w:val="00985D21"/>
    <w:rsid w:val="0098697F"/>
    <w:rsid w:val="00987733"/>
    <w:rsid w:val="0099219E"/>
    <w:rsid w:val="00995E6E"/>
    <w:rsid w:val="00997C34"/>
    <w:rsid w:val="009A2285"/>
    <w:rsid w:val="009A26E8"/>
    <w:rsid w:val="009A2777"/>
    <w:rsid w:val="009A2D79"/>
    <w:rsid w:val="009A659F"/>
    <w:rsid w:val="009A6B4E"/>
    <w:rsid w:val="009B1B43"/>
    <w:rsid w:val="009B2398"/>
    <w:rsid w:val="009B534A"/>
    <w:rsid w:val="009B79B4"/>
    <w:rsid w:val="009C0AE3"/>
    <w:rsid w:val="009C12A0"/>
    <w:rsid w:val="009C2D83"/>
    <w:rsid w:val="009C49FD"/>
    <w:rsid w:val="009D0FF6"/>
    <w:rsid w:val="009D77F2"/>
    <w:rsid w:val="009D7B0F"/>
    <w:rsid w:val="009E438E"/>
    <w:rsid w:val="009E522E"/>
    <w:rsid w:val="009F45A8"/>
    <w:rsid w:val="009F67C7"/>
    <w:rsid w:val="00A00590"/>
    <w:rsid w:val="00A00DA2"/>
    <w:rsid w:val="00A04174"/>
    <w:rsid w:val="00A0591E"/>
    <w:rsid w:val="00A12847"/>
    <w:rsid w:val="00A14F78"/>
    <w:rsid w:val="00A154FF"/>
    <w:rsid w:val="00A15DC6"/>
    <w:rsid w:val="00A1666E"/>
    <w:rsid w:val="00A21A9B"/>
    <w:rsid w:val="00A22C09"/>
    <w:rsid w:val="00A24507"/>
    <w:rsid w:val="00A251AC"/>
    <w:rsid w:val="00A25E1F"/>
    <w:rsid w:val="00A26FD8"/>
    <w:rsid w:val="00A3193A"/>
    <w:rsid w:val="00A32396"/>
    <w:rsid w:val="00A323D7"/>
    <w:rsid w:val="00A32958"/>
    <w:rsid w:val="00A33236"/>
    <w:rsid w:val="00A35E50"/>
    <w:rsid w:val="00A36F4A"/>
    <w:rsid w:val="00A374F3"/>
    <w:rsid w:val="00A37700"/>
    <w:rsid w:val="00A37A23"/>
    <w:rsid w:val="00A40054"/>
    <w:rsid w:val="00A404D9"/>
    <w:rsid w:val="00A41A30"/>
    <w:rsid w:val="00A41E46"/>
    <w:rsid w:val="00A43C0F"/>
    <w:rsid w:val="00A43F61"/>
    <w:rsid w:val="00A44CF4"/>
    <w:rsid w:val="00A471CB"/>
    <w:rsid w:val="00A505C4"/>
    <w:rsid w:val="00A50A08"/>
    <w:rsid w:val="00A50D00"/>
    <w:rsid w:val="00A51C00"/>
    <w:rsid w:val="00A51F5D"/>
    <w:rsid w:val="00A5238F"/>
    <w:rsid w:val="00A525EC"/>
    <w:rsid w:val="00A53AB0"/>
    <w:rsid w:val="00A54A8C"/>
    <w:rsid w:val="00A54E83"/>
    <w:rsid w:val="00A57C27"/>
    <w:rsid w:val="00A60753"/>
    <w:rsid w:val="00A62262"/>
    <w:rsid w:val="00A6238F"/>
    <w:rsid w:val="00A65582"/>
    <w:rsid w:val="00A65EE2"/>
    <w:rsid w:val="00A66279"/>
    <w:rsid w:val="00A67C24"/>
    <w:rsid w:val="00A7301E"/>
    <w:rsid w:val="00A73A8A"/>
    <w:rsid w:val="00A74894"/>
    <w:rsid w:val="00A7688B"/>
    <w:rsid w:val="00A8323D"/>
    <w:rsid w:val="00A83F77"/>
    <w:rsid w:val="00A84CA4"/>
    <w:rsid w:val="00A84E12"/>
    <w:rsid w:val="00A86645"/>
    <w:rsid w:val="00A86C3B"/>
    <w:rsid w:val="00A871AC"/>
    <w:rsid w:val="00A877C9"/>
    <w:rsid w:val="00A90C5D"/>
    <w:rsid w:val="00A91118"/>
    <w:rsid w:val="00A911A8"/>
    <w:rsid w:val="00A9330D"/>
    <w:rsid w:val="00A94A89"/>
    <w:rsid w:val="00A9681F"/>
    <w:rsid w:val="00A96915"/>
    <w:rsid w:val="00AA04AB"/>
    <w:rsid w:val="00AA24FB"/>
    <w:rsid w:val="00AA2FCC"/>
    <w:rsid w:val="00AA3CA8"/>
    <w:rsid w:val="00AA49F6"/>
    <w:rsid w:val="00AA7205"/>
    <w:rsid w:val="00AB11D8"/>
    <w:rsid w:val="00AB1E22"/>
    <w:rsid w:val="00AB470B"/>
    <w:rsid w:val="00AB662B"/>
    <w:rsid w:val="00AB6C1C"/>
    <w:rsid w:val="00AB7A89"/>
    <w:rsid w:val="00AC3351"/>
    <w:rsid w:val="00AC6E7D"/>
    <w:rsid w:val="00AC7CE6"/>
    <w:rsid w:val="00AD1108"/>
    <w:rsid w:val="00AD3896"/>
    <w:rsid w:val="00AD39DE"/>
    <w:rsid w:val="00AD3F7B"/>
    <w:rsid w:val="00AE1073"/>
    <w:rsid w:val="00AE11BA"/>
    <w:rsid w:val="00AE1E98"/>
    <w:rsid w:val="00AE5694"/>
    <w:rsid w:val="00AE72C9"/>
    <w:rsid w:val="00AE78ED"/>
    <w:rsid w:val="00AF27A7"/>
    <w:rsid w:val="00AF2C17"/>
    <w:rsid w:val="00AF4E8F"/>
    <w:rsid w:val="00AF5EEF"/>
    <w:rsid w:val="00AF6E60"/>
    <w:rsid w:val="00AF7401"/>
    <w:rsid w:val="00B00CB5"/>
    <w:rsid w:val="00B01C72"/>
    <w:rsid w:val="00B0290D"/>
    <w:rsid w:val="00B029F3"/>
    <w:rsid w:val="00B03093"/>
    <w:rsid w:val="00B04584"/>
    <w:rsid w:val="00B05163"/>
    <w:rsid w:val="00B052A7"/>
    <w:rsid w:val="00B06625"/>
    <w:rsid w:val="00B147DB"/>
    <w:rsid w:val="00B15371"/>
    <w:rsid w:val="00B20A22"/>
    <w:rsid w:val="00B221EF"/>
    <w:rsid w:val="00B22387"/>
    <w:rsid w:val="00B23702"/>
    <w:rsid w:val="00B243A5"/>
    <w:rsid w:val="00B26B9C"/>
    <w:rsid w:val="00B3190B"/>
    <w:rsid w:val="00B31ED9"/>
    <w:rsid w:val="00B32E74"/>
    <w:rsid w:val="00B338E0"/>
    <w:rsid w:val="00B35AD8"/>
    <w:rsid w:val="00B37286"/>
    <w:rsid w:val="00B37E13"/>
    <w:rsid w:val="00B4037F"/>
    <w:rsid w:val="00B431EA"/>
    <w:rsid w:val="00B4414C"/>
    <w:rsid w:val="00B522A6"/>
    <w:rsid w:val="00B52633"/>
    <w:rsid w:val="00B55960"/>
    <w:rsid w:val="00B576EA"/>
    <w:rsid w:val="00B60DFE"/>
    <w:rsid w:val="00B62A37"/>
    <w:rsid w:val="00B64243"/>
    <w:rsid w:val="00B676BB"/>
    <w:rsid w:val="00B700E7"/>
    <w:rsid w:val="00B73229"/>
    <w:rsid w:val="00B734D7"/>
    <w:rsid w:val="00B74D26"/>
    <w:rsid w:val="00B8015C"/>
    <w:rsid w:val="00B81CF9"/>
    <w:rsid w:val="00B81F82"/>
    <w:rsid w:val="00B8638D"/>
    <w:rsid w:val="00B87B94"/>
    <w:rsid w:val="00B87E13"/>
    <w:rsid w:val="00B91BCF"/>
    <w:rsid w:val="00B93212"/>
    <w:rsid w:val="00B940C6"/>
    <w:rsid w:val="00B952A5"/>
    <w:rsid w:val="00B95802"/>
    <w:rsid w:val="00B9604D"/>
    <w:rsid w:val="00B96645"/>
    <w:rsid w:val="00BA2620"/>
    <w:rsid w:val="00BA2B6C"/>
    <w:rsid w:val="00BA3C29"/>
    <w:rsid w:val="00BB00A5"/>
    <w:rsid w:val="00BB0372"/>
    <w:rsid w:val="00BB5E42"/>
    <w:rsid w:val="00BB7ED0"/>
    <w:rsid w:val="00BC3359"/>
    <w:rsid w:val="00BC347E"/>
    <w:rsid w:val="00BC499D"/>
    <w:rsid w:val="00BC4A5B"/>
    <w:rsid w:val="00BC5388"/>
    <w:rsid w:val="00BC7EBE"/>
    <w:rsid w:val="00BD4908"/>
    <w:rsid w:val="00BD79AA"/>
    <w:rsid w:val="00BE0402"/>
    <w:rsid w:val="00BE3BA6"/>
    <w:rsid w:val="00BE3E24"/>
    <w:rsid w:val="00BE46EB"/>
    <w:rsid w:val="00BE5381"/>
    <w:rsid w:val="00BE6557"/>
    <w:rsid w:val="00BE722E"/>
    <w:rsid w:val="00BF0465"/>
    <w:rsid w:val="00BF1826"/>
    <w:rsid w:val="00BF1CD0"/>
    <w:rsid w:val="00BF2ABE"/>
    <w:rsid w:val="00BF6A76"/>
    <w:rsid w:val="00C037A5"/>
    <w:rsid w:val="00C03C44"/>
    <w:rsid w:val="00C05618"/>
    <w:rsid w:val="00C05B42"/>
    <w:rsid w:val="00C06BD3"/>
    <w:rsid w:val="00C0791E"/>
    <w:rsid w:val="00C07CA9"/>
    <w:rsid w:val="00C17183"/>
    <w:rsid w:val="00C22980"/>
    <w:rsid w:val="00C247A2"/>
    <w:rsid w:val="00C256A4"/>
    <w:rsid w:val="00C25AEC"/>
    <w:rsid w:val="00C25B65"/>
    <w:rsid w:val="00C27639"/>
    <w:rsid w:val="00C27C96"/>
    <w:rsid w:val="00C34104"/>
    <w:rsid w:val="00C3523D"/>
    <w:rsid w:val="00C41E59"/>
    <w:rsid w:val="00C4252F"/>
    <w:rsid w:val="00C43D8B"/>
    <w:rsid w:val="00C47F3C"/>
    <w:rsid w:val="00C502D0"/>
    <w:rsid w:val="00C5159D"/>
    <w:rsid w:val="00C53290"/>
    <w:rsid w:val="00C53B62"/>
    <w:rsid w:val="00C559CA"/>
    <w:rsid w:val="00C64434"/>
    <w:rsid w:val="00C66171"/>
    <w:rsid w:val="00C6664A"/>
    <w:rsid w:val="00C6784D"/>
    <w:rsid w:val="00C706BB"/>
    <w:rsid w:val="00C711C2"/>
    <w:rsid w:val="00C725D0"/>
    <w:rsid w:val="00C72635"/>
    <w:rsid w:val="00C730E6"/>
    <w:rsid w:val="00C738B2"/>
    <w:rsid w:val="00C739AE"/>
    <w:rsid w:val="00C7512A"/>
    <w:rsid w:val="00C81401"/>
    <w:rsid w:val="00C83339"/>
    <w:rsid w:val="00C8347B"/>
    <w:rsid w:val="00C83B0A"/>
    <w:rsid w:val="00C87725"/>
    <w:rsid w:val="00C92299"/>
    <w:rsid w:val="00C9712D"/>
    <w:rsid w:val="00CA0B91"/>
    <w:rsid w:val="00CA1BB9"/>
    <w:rsid w:val="00CA2D63"/>
    <w:rsid w:val="00CA56DA"/>
    <w:rsid w:val="00CA58EC"/>
    <w:rsid w:val="00CA6CCE"/>
    <w:rsid w:val="00CA6D5C"/>
    <w:rsid w:val="00CA7B14"/>
    <w:rsid w:val="00CB0F0F"/>
    <w:rsid w:val="00CB0FBA"/>
    <w:rsid w:val="00CB26AB"/>
    <w:rsid w:val="00CB535B"/>
    <w:rsid w:val="00CB59C3"/>
    <w:rsid w:val="00CB71E6"/>
    <w:rsid w:val="00CC1548"/>
    <w:rsid w:val="00CC2878"/>
    <w:rsid w:val="00CC2D4E"/>
    <w:rsid w:val="00CC7D15"/>
    <w:rsid w:val="00CD572F"/>
    <w:rsid w:val="00CD78E2"/>
    <w:rsid w:val="00CD7B23"/>
    <w:rsid w:val="00CD7E47"/>
    <w:rsid w:val="00CE6E0B"/>
    <w:rsid w:val="00CF0340"/>
    <w:rsid w:val="00CF1278"/>
    <w:rsid w:val="00CF3357"/>
    <w:rsid w:val="00CF4227"/>
    <w:rsid w:val="00CF55D5"/>
    <w:rsid w:val="00D06051"/>
    <w:rsid w:val="00D115A0"/>
    <w:rsid w:val="00D11E67"/>
    <w:rsid w:val="00D13692"/>
    <w:rsid w:val="00D13D6A"/>
    <w:rsid w:val="00D140AB"/>
    <w:rsid w:val="00D142F4"/>
    <w:rsid w:val="00D155D7"/>
    <w:rsid w:val="00D164BF"/>
    <w:rsid w:val="00D16C8E"/>
    <w:rsid w:val="00D200ED"/>
    <w:rsid w:val="00D20616"/>
    <w:rsid w:val="00D22BB3"/>
    <w:rsid w:val="00D25E13"/>
    <w:rsid w:val="00D25F21"/>
    <w:rsid w:val="00D27C07"/>
    <w:rsid w:val="00D33FC7"/>
    <w:rsid w:val="00D35E16"/>
    <w:rsid w:val="00D41CB3"/>
    <w:rsid w:val="00D42F31"/>
    <w:rsid w:val="00D46471"/>
    <w:rsid w:val="00D55BB0"/>
    <w:rsid w:val="00D61461"/>
    <w:rsid w:val="00D632BB"/>
    <w:rsid w:val="00D6775B"/>
    <w:rsid w:val="00D70C88"/>
    <w:rsid w:val="00D71649"/>
    <w:rsid w:val="00D71A3C"/>
    <w:rsid w:val="00D72111"/>
    <w:rsid w:val="00D73672"/>
    <w:rsid w:val="00D73955"/>
    <w:rsid w:val="00D74327"/>
    <w:rsid w:val="00D755E7"/>
    <w:rsid w:val="00D8076A"/>
    <w:rsid w:val="00D80F3F"/>
    <w:rsid w:val="00D8396C"/>
    <w:rsid w:val="00D839B8"/>
    <w:rsid w:val="00D85954"/>
    <w:rsid w:val="00D85F9A"/>
    <w:rsid w:val="00D9342A"/>
    <w:rsid w:val="00D94AFE"/>
    <w:rsid w:val="00D94FD7"/>
    <w:rsid w:val="00D957DA"/>
    <w:rsid w:val="00D95CC9"/>
    <w:rsid w:val="00D97455"/>
    <w:rsid w:val="00D97F87"/>
    <w:rsid w:val="00DA0086"/>
    <w:rsid w:val="00DA1FB8"/>
    <w:rsid w:val="00DA3B0C"/>
    <w:rsid w:val="00DB05B6"/>
    <w:rsid w:val="00DB24C9"/>
    <w:rsid w:val="00DB3CE2"/>
    <w:rsid w:val="00DB4174"/>
    <w:rsid w:val="00DC2987"/>
    <w:rsid w:val="00DC3015"/>
    <w:rsid w:val="00DC3078"/>
    <w:rsid w:val="00DC7AE6"/>
    <w:rsid w:val="00DD0447"/>
    <w:rsid w:val="00DD13C0"/>
    <w:rsid w:val="00DD3237"/>
    <w:rsid w:val="00DD4EC9"/>
    <w:rsid w:val="00DD5B5A"/>
    <w:rsid w:val="00DD77C1"/>
    <w:rsid w:val="00DE38CB"/>
    <w:rsid w:val="00DE3D1B"/>
    <w:rsid w:val="00DE7DAA"/>
    <w:rsid w:val="00DF2D1E"/>
    <w:rsid w:val="00DF3944"/>
    <w:rsid w:val="00DF3A12"/>
    <w:rsid w:val="00DF4104"/>
    <w:rsid w:val="00DF470A"/>
    <w:rsid w:val="00DF47BE"/>
    <w:rsid w:val="00DF50D5"/>
    <w:rsid w:val="00E00CCC"/>
    <w:rsid w:val="00E01C78"/>
    <w:rsid w:val="00E0203A"/>
    <w:rsid w:val="00E020E6"/>
    <w:rsid w:val="00E0237E"/>
    <w:rsid w:val="00E059AF"/>
    <w:rsid w:val="00E05BC1"/>
    <w:rsid w:val="00E141E9"/>
    <w:rsid w:val="00E16409"/>
    <w:rsid w:val="00E1682D"/>
    <w:rsid w:val="00E215AC"/>
    <w:rsid w:val="00E22E13"/>
    <w:rsid w:val="00E23477"/>
    <w:rsid w:val="00E258ED"/>
    <w:rsid w:val="00E265A6"/>
    <w:rsid w:val="00E2683D"/>
    <w:rsid w:val="00E27157"/>
    <w:rsid w:val="00E30841"/>
    <w:rsid w:val="00E30CC6"/>
    <w:rsid w:val="00E32B67"/>
    <w:rsid w:val="00E32C2E"/>
    <w:rsid w:val="00E338A1"/>
    <w:rsid w:val="00E34439"/>
    <w:rsid w:val="00E34635"/>
    <w:rsid w:val="00E35884"/>
    <w:rsid w:val="00E37998"/>
    <w:rsid w:val="00E37B55"/>
    <w:rsid w:val="00E40788"/>
    <w:rsid w:val="00E4249E"/>
    <w:rsid w:val="00E43AEC"/>
    <w:rsid w:val="00E44B06"/>
    <w:rsid w:val="00E450D0"/>
    <w:rsid w:val="00E476F2"/>
    <w:rsid w:val="00E47EEA"/>
    <w:rsid w:val="00E50258"/>
    <w:rsid w:val="00E513D8"/>
    <w:rsid w:val="00E52656"/>
    <w:rsid w:val="00E54DD7"/>
    <w:rsid w:val="00E55BA3"/>
    <w:rsid w:val="00E55F2B"/>
    <w:rsid w:val="00E56643"/>
    <w:rsid w:val="00E607BF"/>
    <w:rsid w:val="00E6119B"/>
    <w:rsid w:val="00E62B26"/>
    <w:rsid w:val="00E63F98"/>
    <w:rsid w:val="00E6409D"/>
    <w:rsid w:val="00E65410"/>
    <w:rsid w:val="00E70D26"/>
    <w:rsid w:val="00E715CD"/>
    <w:rsid w:val="00E7345E"/>
    <w:rsid w:val="00E75038"/>
    <w:rsid w:val="00E752D7"/>
    <w:rsid w:val="00E7561C"/>
    <w:rsid w:val="00E814FD"/>
    <w:rsid w:val="00E84848"/>
    <w:rsid w:val="00E87F3A"/>
    <w:rsid w:val="00E909B4"/>
    <w:rsid w:val="00E91C77"/>
    <w:rsid w:val="00E9304B"/>
    <w:rsid w:val="00E933FA"/>
    <w:rsid w:val="00E9507E"/>
    <w:rsid w:val="00EA0C4A"/>
    <w:rsid w:val="00EA0F25"/>
    <w:rsid w:val="00EA2628"/>
    <w:rsid w:val="00EA570D"/>
    <w:rsid w:val="00EA671D"/>
    <w:rsid w:val="00EA6BF0"/>
    <w:rsid w:val="00EB21A9"/>
    <w:rsid w:val="00EB2BF6"/>
    <w:rsid w:val="00EB35E1"/>
    <w:rsid w:val="00EB564D"/>
    <w:rsid w:val="00EC059F"/>
    <w:rsid w:val="00EC17DF"/>
    <w:rsid w:val="00EC2739"/>
    <w:rsid w:val="00EC405A"/>
    <w:rsid w:val="00EC671D"/>
    <w:rsid w:val="00ED233D"/>
    <w:rsid w:val="00ED39B4"/>
    <w:rsid w:val="00ED5C66"/>
    <w:rsid w:val="00EE02BF"/>
    <w:rsid w:val="00EE31D1"/>
    <w:rsid w:val="00EE6E91"/>
    <w:rsid w:val="00EF485C"/>
    <w:rsid w:val="00EF5AA7"/>
    <w:rsid w:val="00EF64DE"/>
    <w:rsid w:val="00F00C0F"/>
    <w:rsid w:val="00F00F27"/>
    <w:rsid w:val="00F0149D"/>
    <w:rsid w:val="00F053DA"/>
    <w:rsid w:val="00F059B9"/>
    <w:rsid w:val="00F05C12"/>
    <w:rsid w:val="00F05DE6"/>
    <w:rsid w:val="00F073D3"/>
    <w:rsid w:val="00F10774"/>
    <w:rsid w:val="00F107F6"/>
    <w:rsid w:val="00F111E9"/>
    <w:rsid w:val="00F148CD"/>
    <w:rsid w:val="00F21232"/>
    <w:rsid w:val="00F23117"/>
    <w:rsid w:val="00F23388"/>
    <w:rsid w:val="00F25E45"/>
    <w:rsid w:val="00F4023E"/>
    <w:rsid w:val="00F41012"/>
    <w:rsid w:val="00F41371"/>
    <w:rsid w:val="00F47CB0"/>
    <w:rsid w:val="00F50F96"/>
    <w:rsid w:val="00F56145"/>
    <w:rsid w:val="00F56255"/>
    <w:rsid w:val="00F56B16"/>
    <w:rsid w:val="00F56F64"/>
    <w:rsid w:val="00F610B4"/>
    <w:rsid w:val="00F61DD4"/>
    <w:rsid w:val="00F6226E"/>
    <w:rsid w:val="00F62718"/>
    <w:rsid w:val="00F63692"/>
    <w:rsid w:val="00F648C2"/>
    <w:rsid w:val="00F723F8"/>
    <w:rsid w:val="00F75CE6"/>
    <w:rsid w:val="00F7772B"/>
    <w:rsid w:val="00F8366B"/>
    <w:rsid w:val="00F84CFE"/>
    <w:rsid w:val="00F8530A"/>
    <w:rsid w:val="00F8594B"/>
    <w:rsid w:val="00F8624E"/>
    <w:rsid w:val="00F879DE"/>
    <w:rsid w:val="00F87B7D"/>
    <w:rsid w:val="00F907CE"/>
    <w:rsid w:val="00F91F72"/>
    <w:rsid w:val="00F94F89"/>
    <w:rsid w:val="00F9504A"/>
    <w:rsid w:val="00F951C1"/>
    <w:rsid w:val="00F95557"/>
    <w:rsid w:val="00F95581"/>
    <w:rsid w:val="00F9755D"/>
    <w:rsid w:val="00F97A1B"/>
    <w:rsid w:val="00FA24B1"/>
    <w:rsid w:val="00FA29A2"/>
    <w:rsid w:val="00FA29EB"/>
    <w:rsid w:val="00FA2F13"/>
    <w:rsid w:val="00FA4C20"/>
    <w:rsid w:val="00FA62C9"/>
    <w:rsid w:val="00FA6969"/>
    <w:rsid w:val="00FA77AB"/>
    <w:rsid w:val="00FB400A"/>
    <w:rsid w:val="00FB6098"/>
    <w:rsid w:val="00FB713C"/>
    <w:rsid w:val="00FB7630"/>
    <w:rsid w:val="00FB7B8F"/>
    <w:rsid w:val="00FC468D"/>
    <w:rsid w:val="00FC5927"/>
    <w:rsid w:val="00FC7607"/>
    <w:rsid w:val="00FC7A30"/>
    <w:rsid w:val="00FC7D40"/>
    <w:rsid w:val="00FD2D48"/>
    <w:rsid w:val="00FD38F3"/>
    <w:rsid w:val="00FD4207"/>
    <w:rsid w:val="00FD6956"/>
    <w:rsid w:val="00FE174E"/>
    <w:rsid w:val="00FE5CAE"/>
    <w:rsid w:val="00FE7338"/>
    <w:rsid w:val="00FF3C7E"/>
    <w:rsid w:val="00FF40E6"/>
    <w:rsid w:val="00FF4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E3479"/>
  <w15:docId w15:val="{9310AC83-CEEC-4459-9DFC-6DB64E63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600D"/>
    <w:rPr>
      <w:sz w:val="24"/>
      <w:szCs w:val="24"/>
    </w:rPr>
  </w:style>
  <w:style w:type="paragraph" w:styleId="Nagwek1">
    <w:name w:val="heading 1"/>
    <w:basedOn w:val="Normalny"/>
    <w:next w:val="Normalny"/>
    <w:link w:val="Nagwek1Znak"/>
    <w:qFormat/>
    <w:rsid w:val="00616FAA"/>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41600D"/>
    <w:pPr>
      <w:keepNext/>
      <w:jc w:val="both"/>
      <w:outlineLvl w:val="1"/>
    </w:pPr>
    <w:rPr>
      <w:b/>
      <w:sz w:val="28"/>
      <w:szCs w:val="20"/>
    </w:rPr>
  </w:style>
  <w:style w:type="paragraph" w:styleId="Nagwek3">
    <w:name w:val="heading 3"/>
    <w:basedOn w:val="Normalny"/>
    <w:next w:val="Normalny"/>
    <w:qFormat/>
    <w:rsid w:val="0041600D"/>
    <w:pPr>
      <w:keepNext/>
      <w:spacing w:before="24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1600D"/>
    <w:pPr>
      <w:spacing w:before="100" w:beforeAutospacing="1" w:after="100" w:afterAutospacing="1"/>
    </w:pPr>
    <w:rPr>
      <w:rFonts w:ascii="Arial Unicode MS" w:eastAsia="Arial Unicode MS" w:hAnsi="Arial Unicode MS" w:cs="Arial Unicode MS"/>
    </w:rPr>
  </w:style>
  <w:style w:type="paragraph" w:styleId="Tekstpodstawowywcity">
    <w:name w:val="Body Text Indent"/>
    <w:basedOn w:val="Normalny"/>
    <w:rsid w:val="0041600D"/>
    <w:pPr>
      <w:ind w:left="360"/>
      <w:jc w:val="both"/>
    </w:pPr>
    <w:rPr>
      <w:szCs w:val="20"/>
    </w:rPr>
  </w:style>
  <w:style w:type="paragraph" w:styleId="Tekstprzypisudolnego">
    <w:name w:val="footnote text"/>
    <w:basedOn w:val="Normalny"/>
    <w:semiHidden/>
    <w:rsid w:val="0041600D"/>
    <w:rPr>
      <w:sz w:val="20"/>
      <w:szCs w:val="20"/>
    </w:rPr>
  </w:style>
  <w:style w:type="paragraph" w:styleId="Tekstprzypisukocowego">
    <w:name w:val="endnote text"/>
    <w:basedOn w:val="Normalny"/>
    <w:semiHidden/>
    <w:rsid w:val="0041600D"/>
    <w:rPr>
      <w:sz w:val="20"/>
      <w:szCs w:val="20"/>
    </w:rPr>
  </w:style>
  <w:style w:type="character" w:styleId="Odwoanieprzypisukocowego">
    <w:name w:val="endnote reference"/>
    <w:semiHidden/>
    <w:rsid w:val="0041600D"/>
    <w:rPr>
      <w:vertAlign w:val="superscript"/>
    </w:rPr>
  </w:style>
  <w:style w:type="character" w:styleId="Odwoanieprzypisudolnego">
    <w:name w:val="footnote reference"/>
    <w:semiHidden/>
    <w:rsid w:val="0041600D"/>
    <w:rPr>
      <w:vertAlign w:val="superscript"/>
    </w:rPr>
  </w:style>
  <w:style w:type="paragraph" w:styleId="Tekstpodstawowy">
    <w:name w:val="Body Text"/>
    <w:basedOn w:val="Normalny"/>
    <w:rsid w:val="0041600D"/>
    <w:pPr>
      <w:spacing w:before="240"/>
      <w:jc w:val="both"/>
    </w:pPr>
    <w:rPr>
      <w:rFonts w:cs="Arial"/>
    </w:rPr>
  </w:style>
  <w:style w:type="paragraph" w:styleId="Tekstpodstawowy3">
    <w:name w:val="Body Text 3"/>
    <w:basedOn w:val="Normalny"/>
    <w:rsid w:val="0041600D"/>
    <w:pPr>
      <w:jc w:val="center"/>
    </w:pPr>
  </w:style>
  <w:style w:type="paragraph" w:styleId="Tytu">
    <w:name w:val="Title"/>
    <w:basedOn w:val="Normalny"/>
    <w:link w:val="TytuZnak"/>
    <w:qFormat/>
    <w:rsid w:val="0041600D"/>
    <w:pPr>
      <w:spacing w:before="120"/>
      <w:jc w:val="center"/>
    </w:pPr>
    <w:rPr>
      <w:b/>
      <w:sz w:val="22"/>
    </w:rPr>
  </w:style>
  <w:style w:type="paragraph" w:styleId="Tekstdymka">
    <w:name w:val="Balloon Text"/>
    <w:basedOn w:val="Normalny"/>
    <w:semiHidden/>
    <w:rsid w:val="0041600D"/>
    <w:rPr>
      <w:rFonts w:ascii="Tahoma" w:hAnsi="Tahoma" w:cs="Tahoma"/>
      <w:sz w:val="16"/>
      <w:szCs w:val="16"/>
    </w:rPr>
  </w:style>
  <w:style w:type="paragraph" w:customStyle="1" w:styleId="1Paragraf">
    <w:name w:val="1.Paragraf"/>
    <w:basedOn w:val="Normalny"/>
    <w:next w:val="Normalny"/>
    <w:autoRedefine/>
    <w:rsid w:val="0041600D"/>
    <w:pPr>
      <w:spacing w:before="240" w:after="120"/>
      <w:jc w:val="both"/>
    </w:pPr>
    <w:rPr>
      <w:rFonts w:cs="Arial"/>
      <w:bCs/>
    </w:rPr>
  </w:style>
  <w:style w:type="paragraph" w:customStyle="1" w:styleId="ustep">
    <w:name w:val="ustep"/>
    <w:basedOn w:val="Normalny"/>
    <w:rsid w:val="0041600D"/>
    <w:pPr>
      <w:spacing w:before="60" w:after="60"/>
      <w:ind w:left="426" w:hanging="284"/>
      <w:jc w:val="both"/>
    </w:pPr>
  </w:style>
  <w:style w:type="paragraph" w:styleId="Stopka">
    <w:name w:val="footer"/>
    <w:basedOn w:val="Normalny"/>
    <w:rsid w:val="00E55BA3"/>
    <w:pPr>
      <w:tabs>
        <w:tab w:val="center" w:pos="4536"/>
        <w:tab w:val="right" w:pos="9072"/>
      </w:tabs>
    </w:pPr>
  </w:style>
  <w:style w:type="character" w:styleId="Numerstrony">
    <w:name w:val="page number"/>
    <w:basedOn w:val="Domylnaczcionkaakapitu"/>
    <w:rsid w:val="00E55BA3"/>
  </w:style>
  <w:style w:type="table" w:styleId="Tabela-Siatka">
    <w:name w:val="Table Grid"/>
    <w:basedOn w:val="Standardowy"/>
    <w:rsid w:val="007F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E09CB"/>
    <w:pPr>
      <w:spacing w:after="120" w:line="480" w:lineRule="auto"/>
    </w:pPr>
  </w:style>
  <w:style w:type="character" w:customStyle="1" w:styleId="tabulatory">
    <w:name w:val="tabulatory"/>
    <w:basedOn w:val="Domylnaczcionkaakapitu"/>
    <w:rsid w:val="00350DFA"/>
  </w:style>
  <w:style w:type="character" w:styleId="Hipercze">
    <w:name w:val="Hyperlink"/>
    <w:rsid w:val="00350DFA"/>
    <w:rPr>
      <w:color w:val="0000FF"/>
      <w:u w:val="single"/>
    </w:rPr>
  </w:style>
  <w:style w:type="paragraph" w:customStyle="1" w:styleId="PKTpunkt">
    <w:name w:val="PKT – punkt"/>
    <w:link w:val="PKTpunktZnak"/>
    <w:uiPriority w:val="13"/>
    <w:qFormat/>
    <w:rsid w:val="007E289B"/>
    <w:pPr>
      <w:spacing w:line="360" w:lineRule="auto"/>
      <w:ind w:left="510" w:hanging="510"/>
      <w:jc w:val="both"/>
    </w:pPr>
    <w:rPr>
      <w:rFonts w:ascii="Times" w:hAnsi="Times" w:cs="Arial"/>
      <w:bCs/>
      <w:sz w:val="24"/>
    </w:rPr>
  </w:style>
  <w:style w:type="character" w:customStyle="1" w:styleId="PKTpunktZnak">
    <w:name w:val="PKT – punkt Znak"/>
    <w:link w:val="PKTpunkt"/>
    <w:locked/>
    <w:rsid w:val="007E289B"/>
    <w:rPr>
      <w:rFonts w:ascii="Times" w:hAnsi="Times" w:cs="Arial"/>
      <w:bCs/>
      <w:sz w:val="24"/>
      <w:lang w:val="pl-PL" w:eastAsia="pl-PL" w:bidi="ar-SA"/>
    </w:rPr>
  </w:style>
  <w:style w:type="paragraph" w:customStyle="1" w:styleId="LITlitera">
    <w:name w:val="LIT – litera"/>
    <w:basedOn w:val="PKTpunkt"/>
    <w:link w:val="LITliteraZnak"/>
    <w:qFormat/>
    <w:rsid w:val="00A44CF4"/>
    <w:pPr>
      <w:ind w:left="986" w:hanging="476"/>
    </w:pPr>
  </w:style>
  <w:style w:type="character" w:customStyle="1" w:styleId="LITliteraZnak">
    <w:name w:val="LIT – litera Znak"/>
    <w:link w:val="LITlitera"/>
    <w:rsid w:val="00A44CF4"/>
    <w:rPr>
      <w:rFonts w:ascii="Times" w:hAnsi="Times" w:cs="Arial"/>
      <w:bCs/>
      <w:sz w:val="24"/>
      <w:lang w:val="pl-PL" w:eastAsia="pl-PL" w:bidi="ar-SA"/>
    </w:rPr>
  </w:style>
  <w:style w:type="paragraph" w:customStyle="1" w:styleId="ARTartustawynprozporzdzenia">
    <w:name w:val="ART(§) – art. ustawy (§ np. rozporządzenia)"/>
    <w:link w:val="ARTartustawynprozporzdzeniaZnak"/>
    <w:uiPriority w:val="11"/>
    <w:qFormat/>
    <w:rsid w:val="0082581C"/>
    <w:pPr>
      <w:suppressAutoHyphens/>
      <w:autoSpaceDE w:val="0"/>
      <w:autoSpaceDN w:val="0"/>
      <w:adjustRightInd w:val="0"/>
      <w:spacing w:before="120" w:line="360" w:lineRule="auto"/>
      <w:ind w:firstLine="510"/>
      <w:jc w:val="both"/>
    </w:pPr>
    <w:rPr>
      <w:rFonts w:ascii="Times" w:hAnsi="Times" w:cs="Arial"/>
      <w:sz w:val="24"/>
    </w:rPr>
  </w:style>
  <w:style w:type="character" w:customStyle="1" w:styleId="ARTartustawynprozporzdzeniaZnak">
    <w:name w:val="ART(§) – art. ustawy (§ np. rozporządzenia) Znak"/>
    <w:link w:val="ARTartustawynprozporzdzenia"/>
    <w:locked/>
    <w:rsid w:val="0082581C"/>
    <w:rPr>
      <w:rFonts w:ascii="Times" w:hAnsi="Times" w:cs="Arial"/>
      <w:sz w:val="24"/>
      <w:lang w:val="pl-PL" w:eastAsia="pl-PL" w:bidi="ar-SA"/>
    </w:rPr>
  </w:style>
  <w:style w:type="paragraph" w:customStyle="1" w:styleId="USTustnpkodeksu">
    <w:name w:val="UST(§) – ust. (§ np. kodeksu)"/>
    <w:basedOn w:val="ARTartustawynprozporzdzenia"/>
    <w:link w:val="USTustnpkodeksuZnak"/>
    <w:uiPriority w:val="12"/>
    <w:qFormat/>
    <w:rsid w:val="00AE1E98"/>
    <w:pPr>
      <w:spacing w:before="0"/>
    </w:pPr>
    <w:rPr>
      <w:bCs/>
    </w:rPr>
  </w:style>
  <w:style w:type="character" w:customStyle="1" w:styleId="USTustnpkodeksuZnak">
    <w:name w:val="UST(§) – ust. (§ np. kodeksu) Znak"/>
    <w:link w:val="USTustnpkodeksu"/>
    <w:rsid w:val="00AE1E98"/>
    <w:rPr>
      <w:rFonts w:ascii="Times" w:hAnsi="Times" w:cs="Arial"/>
      <w:bCs/>
      <w:sz w:val="24"/>
      <w:lang w:val="pl-PL" w:eastAsia="pl-PL" w:bidi="ar-SA"/>
    </w:rPr>
  </w:style>
  <w:style w:type="character" w:customStyle="1" w:styleId="Nagwek1Znak">
    <w:name w:val="Nagłówek 1 Znak"/>
    <w:link w:val="Nagwek1"/>
    <w:rsid w:val="00616FAA"/>
    <w:rPr>
      <w:rFonts w:ascii="Cambria" w:eastAsia="Times New Roman" w:hAnsi="Cambria" w:cs="Times New Roman"/>
      <w:b/>
      <w:bCs/>
      <w:kern w:val="32"/>
      <w:sz w:val="32"/>
      <w:szCs w:val="32"/>
    </w:rPr>
  </w:style>
  <w:style w:type="character" w:customStyle="1" w:styleId="TytuZnak">
    <w:name w:val="Tytuł Znak"/>
    <w:link w:val="Tytu"/>
    <w:rsid w:val="00223E2D"/>
    <w:rPr>
      <w:b/>
      <w:sz w:val="22"/>
      <w:szCs w:val="24"/>
    </w:rPr>
  </w:style>
  <w:style w:type="paragraph" w:customStyle="1" w:styleId="TYTUAKTUprzedmiotregulacjiustawylubrozporzdzenia">
    <w:name w:val="TYTUŁ_AKTU – przedmiot regulacji ustawy lub rozporządzenia"/>
    <w:next w:val="Normalny"/>
    <w:link w:val="TYTUAKTUprzedmiotregulacjiustawylubrozporzdzeniaZnak"/>
    <w:uiPriority w:val="6"/>
    <w:qFormat/>
    <w:rsid w:val="00C037A5"/>
    <w:pPr>
      <w:keepNext/>
      <w:suppressAutoHyphens/>
      <w:spacing w:before="120" w:after="360" w:line="360" w:lineRule="auto"/>
      <w:jc w:val="center"/>
    </w:pPr>
    <w:rPr>
      <w:rFonts w:ascii="Times" w:hAnsi="Times" w:cs="Arial"/>
      <w:b/>
      <w:bCs/>
      <w:sz w:val="24"/>
      <w:szCs w:val="24"/>
    </w:rPr>
  </w:style>
  <w:style w:type="character" w:customStyle="1" w:styleId="TYTUAKTUprzedmiotregulacjiustawylubrozporzdzeniaZnak">
    <w:name w:val="TYTUŁ_AKTU – przedmiot regulacji ustawy lub rozporządzenia Znak"/>
    <w:link w:val="TYTUAKTUprzedmiotregulacjiustawylubrozporzdzenia"/>
    <w:rsid w:val="00C037A5"/>
    <w:rPr>
      <w:rFonts w:ascii="Times" w:hAnsi="Times" w:cs="Arial"/>
      <w:b/>
      <w:bCs/>
      <w:sz w:val="24"/>
      <w:szCs w:val="24"/>
    </w:rPr>
  </w:style>
  <w:style w:type="character" w:customStyle="1" w:styleId="Ppogrubienie">
    <w:name w:val="_P_ – pogrubienie"/>
    <w:uiPriority w:val="1"/>
    <w:qFormat/>
    <w:rsid w:val="00780349"/>
    <w:rPr>
      <w:b/>
    </w:rPr>
  </w:style>
  <w:style w:type="paragraph" w:customStyle="1" w:styleId="w2zmart">
    <w:name w:val="w2_zm_art"/>
    <w:rsid w:val="003538E3"/>
    <w:pPr>
      <w:spacing w:before="60" w:after="60"/>
      <w:ind w:left="851" w:hanging="295"/>
      <w:jc w:val="both"/>
      <w:outlineLvl w:val="3"/>
    </w:pPr>
    <w:rPr>
      <w:sz w:val="24"/>
      <w:szCs w:val="22"/>
      <w:lang w:eastAsia="en-US"/>
    </w:rPr>
  </w:style>
  <w:style w:type="paragraph" w:customStyle="1" w:styleId="DATAAKTUdatauchwalenialubwydaniaaktu">
    <w:name w:val="DATA_AKTU – data uchwalenia lub wydania aktu"/>
    <w:next w:val="TYTUAKTUprzedmiotregulacjiustawylubrozporzdzenia"/>
    <w:uiPriority w:val="6"/>
    <w:qFormat/>
    <w:rsid w:val="006477FA"/>
    <w:pPr>
      <w:keepNext/>
      <w:suppressAutoHyphens/>
      <w:spacing w:before="120" w:after="120" w:line="360" w:lineRule="auto"/>
      <w:jc w:val="center"/>
    </w:pPr>
    <w:rPr>
      <w:rFonts w:ascii="Times" w:hAnsi="Times" w:cs="Arial"/>
      <w:bCs/>
      <w:sz w:val="24"/>
      <w:szCs w:val="24"/>
    </w:rPr>
  </w:style>
  <w:style w:type="character" w:styleId="Odwoaniedokomentarza">
    <w:name w:val="annotation reference"/>
    <w:uiPriority w:val="99"/>
    <w:rsid w:val="00536601"/>
    <w:rPr>
      <w:sz w:val="16"/>
      <w:szCs w:val="16"/>
    </w:rPr>
  </w:style>
  <w:style w:type="paragraph" w:styleId="Tekstkomentarza">
    <w:name w:val="annotation text"/>
    <w:basedOn w:val="Normalny"/>
    <w:link w:val="TekstkomentarzaZnak"/>
    <w:uiPriority w:val="99"/>
    <w:rsid w:val="00536601"/>
    <w:rPr>
      <w:sz w:val="20"/>
      <w:szCs w:val="20"/>
    </w:rPr>
  </w:style>
  <w:style w:type="character" w:customStyle="1" w:styleId="TekstkomentarzaZnak">
    <w:name w:val="Tekst komentarza Znak"/>
    <w:basedOn w:val="Domylnaczcionkaakapitu"/>
    <w:link w:val="Tekstkomentarza"/>
    <w:uiPriority w:val="99"/>
    <w:rsid w:val="00536601"/>
  </w:style>
  <w:style w:type="paragraph" w:styleId="Tematkomentarza">
    <w:name w:val="annotation subject"/>
    <w:basedOn w:val="Tekstkomentarza"/>
    <w:next w:val="Tekstkomentarza"/>
    <w:link w:val="TematkomentarzaZnak"/>
    <w:rsid w:val="00536601"/>
    <w:rPr>
      <w:b/>
      <w:bCs/>
    </w:rPr>
  </w:style>
  <w:style w:type="character" w:customStyle="1" w:styleId="TematkomentarzaZnak">
    <w:name w:val="Temat komentarza Znak"/>
    <w:link w:val="Tematkomentarza"/>
    <w:rsid w:val="00536601"/>
    <w:rPr>
      <w:b/>
      <w:bCs/>
    </w:rPr>
  </w:style>
  <w:style w:type="paragraph" w:customStyle="1" w:styleId="Default">
    <w:name w:val="Default"/>
    <w:rsid w:val="009E522E"/>
    <w:pPr>
      <w:autoSpaceDE w:val="0"/>
      <w:autoSpaceDN w:val="0"/>
      <w:adjustRightInd w:val="0"/>
    </w:pPr>
    <w:rPr>
      <w:rFonts w:ascii="EUAlbertina" w:eastAsiaTheme="minorHAnsi" w:hAnsi="EUAlbertina" w:cs="EUAlbertina"/>
      <w:color w:val="000000"/>
      <w:sz w:val="24"/>
      <w:szCs w:val="24"/>
      <w:lang w:eastAsia="en-US"/>
    </w:rPr>
  </w:style>
  <w:style w:type="paragraph" w:styleId="Nagwek">
    <w:name w:val="header"/>
    <w:basedOn w:val="Normalny"/>
    <w:link w:val="NagwekZnak"/>
    <w:unhideWhenUsed/>
    <w:rsid w:val="008C6747"/>
    <w:pPr>
      <w:tabs>
        <w:tab w:val="center" w:pos="4536"/>
        <w:tab w:val="right" w:pos="9072"/>
      </w:tabs>
    </w:pPr>
  </w:style>
  <w:style w:type="character" w:customStyle="1" w:styleId="NagwekZnak">
    <w:name w:val="Nagłówek Znak"/>
    <w:basedOn w:val="Domylnaczcionkaakapitu"/>
    <w:link w:val="Nagwek"/>
    <w:rsid w:val="008C6747"/>
    <w:rPr>
      <w:sz w:val="24"/>
      <w:szCs w:val="24"/>
    </w:rPr>
  </w:style>
  <w:style w:type="paragraph" w:styleId="Akapitzlist">
    <w:name w:val="List Paragraph"/>
    <w:basedOn w:val="Normalny"/>
    <w:uiPriority w:val="34"/>
    <w:qFormat/>
    <w:rsid w:val="003C3F6B"/>
    <w:pPr>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A24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6859">
      <w:bodyDiv w:val="1"/>
      <w:marLeft w:val="0"/>
      <w:marRight w:val="0"/>
      <w:marTop w:val="0"/>
      <w:marBottom w:val="0"/>
      <w:divBdr>
        <w:top w:val="none" w:sz="0" w:space="0" w:color="auto"/>
        <w:left w:val="none" w:sz="0" w:space="0" w:color="auto"/>
        <w:bottom w:val="none" w:sz="0" w:space="0" w:color="auto"/>
        <w:right w:val="none" w:sz="0" w:space="0" w:color="auto"/>
      </w:divBdr>
    </w:div>
    <w:div w:id="398016494">
      <w:bodyDiv w:val="1"/>
      <w:marLeft w:val="0"/>
      <w:marRight w:val="0"/>
      <w:marTop w:val="0"/>
      <w:marBottom w:val="0"/>
      <w:divBdr>
        <w:top w:val="none" w:sz="0" w:space="0" w:color="auto"/>
        <w:left w:val="none" w:sz="0" w:space="0" w:color="auto"/>
        <w:bottom w:val="none" w:sz="0" w:space="0" w:color="auto"/>
        <w:right w:val="none" w:sz="0" w:space="0" w:color="auto"/>
      </w:divBdr>
    </w:div>
    <w:div w:id="431123455">
      <w:bodyDiv w:val="1"/>
      <w:marLeft w:val="0"/>
      <w:marRight w:val="0"/>
      <w:marTop w:val="0"/>
      <w:marBottom w:val="0"/>
      <w:divBdr>
        <w:top w:val="none" w:sz="0" w:space="0" w:color="auto"/>
        <w:left w:val="none" w:sz="0" w:space="0" w:color="auto"/>
        <w:bottom w:val="none" w:sz="0" w:space="0" w:color="auto"/>
        <w:right w:val="none" w:sz="0" w:space="0" w:color="auto"/>
      </w:divBdr>
      <w:divsChild>
        <w:div w:id="1416240644">
          <w:marLeft w:val="0"/>
          <w:marRight w:val="0"/>
          <w:marTop w:val="0"/>
          <w:marBottom w:val="0"/>
          <w:divBdr>
            <w:top w:val="none" w:sz="0" w:space="0" w:color="auto"/>
            <w:left w:val="none" w:sz="0" w:space="0" w:color="auto"/>
            <w:bottom w:val="none" w:sz="0" w:space="0" w:color="auto"/>
            <w:right w:val="none" w:sz="0" w:space="0" w:color="auto"/>
          </w:divBdr>
        </w:div>
      </w:divsChild>
    </w:div>
    <w:div w:id="503135520">
      <w:bodyDiv w:val="1"/>
      <w:marLeft w:val="0"/>
      <w:marRight w:val="0"/>
      <w:marTop w:val="0"/>
      <w:marBottom w:val="0"/>
      <w:divBdr>
        <w:top w:val="none" w:sz="0" w:space="0" w:color="auto"/>
        <w:left w:val="none" w:sz="0" w:space="0" w:color="auto"/>
        <w:bottom w:val="none" w:sz="0" w:space="0" w:color="auto"/>
        <w:right w:val="none" w:sz="0" w:space="0" w:color="auto"/>
      </w:divBdr>
    </w:div>
    <w:div w:id="786237465">
      <w:bodyDiv w:val="1"/>
      <w:marLeft w:val="0"/>
      <w:marRight w:val="0"/>
      <w:marTop w:val="0"/>
      <w:marBottom w:val="0"/>
      <w:divBdr>
        <w:top w:val="none" w:sz="0" w:space="0" w:color="auto"/>
        <w:left w:val="none" w:sz="0" w:space="0" w:color="auto"/>
        <w:bottom w:val="none" w:sz="0" w:space="0" w:color="auto"/>
        <w:right w:val="none" w:sz="0" w:space="0" w:color="auto"/>
      </w:divBdr>
    </w:div>
    <w:div w:id="1054503080">
      <w:bodyDiv w:val="1"/>
      <w:marLeft w:val="0"/>
      <w:marRight w:val="0"/>
      <w:marTop w:val="0"/>
      <w:marBottom w:val="0"/>
      <w:divBdr>
        <w:top w:val="none" w:sz="0" w:space="0" w:color="auto"/>
        <w:left w:val="none" w:sz="0" w:space="0" w:color="auto"/>
        <w:bottom w:val="none" w:sz="0" w:space="0" w:color="auto"/>
        <w:right w:val="none" w:sz="0" w:space="0" w:color="auto"/>
      </w:divBdr>
      <w:divsChild>
        <w:div w:id="582448151">
          <w:marLeft w:val="300"/>
          <w:marRight w:val="0"/>
          <w:marTop w:val="150"/>
          <w:marBottom w:val="150"/>
          <w:divBdr>
            <w:top w:val="none" w:sz="0" w:space="0" w:color="auto"/>
            <w:left w:val="none" w:sz="0" w:space="0" w:color="auto"/>
            <w:bottom w:val="none" w:sz="0" w:space="0" w:color="auto"/>
            <w:right w:val="none" w:sz="0" w:space="0" w:color="auto"/>
          </w:divBdr>
        </w:div>
        <w:div w:id="955331803">
          <w:marLeft w:val="300"/>
          <w:marRight w:val="0"/>
          <w:marTop w:val="150"/>
          <w:marBottom w:val="150"/>
          <w:divBdr>
            <w:top w:val="none" w:sz="0" w:space="0" w:color="auto"/>
            <w:left w:val="none" w:sz="0" w:space="0" w:color="auto"/>
            <w:bottom w:val="none" w:sz="0" w:space="0" w:color="auto"/>
            <w:right w:val="none" w:sz="0" w:space="0" w:color="auto"/>
          </w:divBdr>
        </w:div>
      </w:divsChild>
    </w:div>
    <w:div w:id="17054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85FF77D66AA94BB00C0787448A8CC9" ma:contentTypeVersion="" ma:contentTypeDescription="Utwórz nowy dokument." ma:contentTypeScope="" ma:versionID="4b08dc84212416770496ca83e0b00e29">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AEFC-B2EF-4204-A8A9-8B512FDC07C4}">
  <ds:schemaRefs>
    <ds:schemaRef ds:uri="http://schemas.openxmlformats.org/officeDocument/2006/bibliography"/>
  </ds:schemaRefs>
</ds:datastoreItem>
</file>

<file path=customXml/itemProps2.xml><?xml version="1.0" encoding="utf-8"?>
<ds:datastoreItem xmlns:ds="http://schemas.openxmlformats.org/officeDocument/2006/customXml" ds:itemID="{1BBCF8BF-C711-49F8-894A-E30A77ED1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3E38E-9F3D-4095-8B1F-BD671417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148BEC-637E-4D6F-A1C9-D4B8E9FF2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12089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Projekt z dnia 19 października 2012 r</vt:lpstr>
    </vt:vector>
  </TitlesOfParts>
  <Company>Ministerstwo Finansów</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19 października 2012 r</dc:title>
  <dc:subject/>
  <dc:creator>Adamiak Andrzej</dc:creator>
  <cp:keywords/>
  <dc:description/>
  <cp:lastModifiedBy>Dariusz Matlak</cp:lastModifiedBy>
  <cp:revision>2</cp:revision>
  <cp:lastPrinted>2021-11-18T07:58:00Z</cp:lastPrinted>
  <dcterms:created xsi:type="dcterms:W3CDTF">2021-11-22T20:05:00Z</dcterms:created>
  <dcterms:modified xsi:type="dcterms:W3CDTF">2021-11-22T20:05:00Z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0x0101006B85FF77D66AA94BB00C0787448A8CC9</vt:lpwstr>
  </property>
</Properties>
</file>